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咸宁市住房公积金单位网厅业务使用说明</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rPr>
      </w:pP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9"/>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为拓展住房公积金服务渠道，向缴存单位和缴存职工提供高效便捷服务，根据住房城乡建设部《关于加快建设住房公积金综合服务平台的通知》，咸宁市住房公积金管理中心组织开发了咸宁市住房公积金网上业务大厅。为规范网厅使用管理行为，起草本说明。</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outlineLvl w:val="9"/>
        <w:rPr>
          <w:rFonts w:hint="eastAsia" w:ascii="黑体" w:hAnsi="黑体" w:eastAsia="黑体" w:cs="黑体"/>
          <w:b w:val="0"/>
          <w:bCs w:val="0"/>
          <w:color w:val="2B2B2B"/>
          <w:sz w:val="32"/>
          <w:szCs w:val="32"/>
        </w:rPr>
      </w:pPr>
      <w:r>
        <w:rPr>
          <w:rStyle w:val="11"/>
          <w:rFonts w:hint="eastAsia" w:ascii="黑体" w:hAnsi="黑体" w:eastAsia="黑体" w:cs="黑体"/>
          <w:b w:val="0"/>
          <w:bCs w:val="0"/>
          <w:color w:val="2B2B2B"/>
          <w:sz w:val="32"/>
          <w:szCs w:val="32"/>
          <w:lang w:eastAsia="zh-CN"/>
        </w:rPr>
        <w:t>一</w:t>
      </w:r>
      <w:r>
        <w:rPr>
          <w:rStyle w:val="11"/>
          <w:rFonts w:hint="eastAsia" w:ascii="黑体" w:hAnsi="黑体" w:eastAsia="黑体" w:cs="黑体"/>
          <w:b w:val="0"/>
          <w:bCs w:val="0"/>
          <w:color w:val="2B2B2B"/>
          <w:sz w:val="32"/>
          <w:szCs w:val="32"/>
        </w:rPr>
        <w:t>、网上业务申请</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outlineLvl w:val="9"/>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lang w:eastAsia="zh-CN"/>
        </w:rPr>
        <w:t>（一）</w:t>
      </w:r>
      <w:r>
        <w:rPr>
          <w:rFonts w:hint="eastAsia" w:ascii="楷体_GB2312" w:hAnsi="楷体_GB2312" w:eastAsia="楷体_GB2312" w:cs="楷体_GB2312"/>
          <w:b/>
          <w:bCs/>
          <w:kern w:val="2"/>
          <w:sz w:val="32"/>
          <w:szCs w:val="32"/>
        </w:rPr>
        <w:t>具备以下资格的单位均可申请开通网上业务</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outlineLvl w:val="9"/>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lang w:val="en-US" w:eastAsia="zh-CN"/>
        </w:rPr>
        <w:t>1.</w:t>
      </w:r>
      <w:r>
        <w:rPr>
          <w:rFonts w:hint="eastAsia" w:ascii="仿宋_GB2312" w:eastAsia="仿宋_GB2312" w:hAnsiTheme="minorHAnsi" w:cstheme="minorBidi"/>
          <w:kern w:val="2"/>
          <w:sz w:val="32"/>
          <w:szCs w:val="32"/>
        </w:rPr>
        <w:t>在咸宁市住房公积金管理中心设立缴存账户的单位。</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outlineLvl w:val="9"/>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lang w:val="en-US" w:eastAsia="zh-CN"/>
        </w:rPr>
        <w:t>2.</w:t>
      </w:r>
      <w:r>
        <w:rPr>
          <w:rFonts w:hint="eastAsia" w:ascii="仿宋_GB2312" w:eastAsia="仿宋_GB2312" w:hAnsiTheme="minorHAnsi" w:cstheme="minorBidi"/>
          <w:kern w:val="2"/>
          <w:sz w:val="32"/>
          <w:szCs w:val="32"/>
        </w:rPr>
        <w:t>具备登录互联网条件和计算机安全防护措施，并指定专人负责网上业务的单位。</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outlineLvl w:val="9"/>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lang w:val="en-US" w:eastAsia="zh-CN"/>
        </w:rPr>
        <w:t>3.</w:t>
      </w:r>
      <w:r>
        <w:rPr>
          <w:rFonts w:hint="eastAsia" w:ascii="仿宋_GB2312" w:eastAsia="仿宋_GB2312" w:hAnsiTheme="minorHAnsi" w:cstheme="minorBidi"/>
          <w:kern w:val="2"/>
          <w:sz w:val="32"/>
          <w:szCs w:val="32"/>
        </w:rPr>
        <w:t>符合《住房公积金基础数据标准》要求，并且在咸宁市住房公积金综合管理业务系统内显示的单位信息和个人信息完整准确的单位。</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outlineLvl w:val="9"/>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（二）申请单位授权经办人需持以下办理要件到中心服务网点开设网上业务</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outlineLvl w:val="9"/>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lang w:val="en-US" w:eastAsia="zh-CN"/>
        </w:rPr>
        <w:t>1.</w:t>
      </w:r>
      <w:r>
        <w:rPr>
          <w:rFonts w:hint="eastAsia" w:ascii="仿宋_GB2312" w:eastAsia="仿宋_GB2312" w:hAnsiTheme="minorHAnsi" w:cstheme="minorBidi"/>
          <w:kern w:val="2"/>
          <w:sz w:val="32"/>
          <w:szCs w:val="32"/>
        </w:rPr>
        <w:t>《咸宁市住房公积金网上业务受理单》（见附件1）一份；</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outlineLvl w:val="9"/>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lang w:val="en-US" w:eastAsia="zh-CN"/>
        </w:rPr>
        <w:t>2.</w:t>
      </w:r>
      <w:r>
        <w:rPr>
          <w:rFonts w:hint="eastAsia" w:ascii="仿宋_GB2312" w:eastAsia="仿宋_GB2312" w:hAnsiTheme="minorHAnsi" w:cstheme="minorBidi"/>
          <w:kern w:val="2"/>
          <w:sz w:val="32"/>
          <w:szCs w:val="32"/>
        </w:rPr>
        <w:t>《咸宁市住房公积金机构证书业务受理表》（见附件</w:t>
      </w:r>
      <w:r>
        <w:rPr>
          <w:rFonts w:ascii="仿宋_GB2312" w:eastAsia="仿宋_GB2312" w:hAnsiTheme="minorHAnsi" w:cstheme="minorBidi"/>
          <w:kern w:val="2"/>
          <w:sz w:val="32"/>
          <w:szCs w:val="32"/>
        </w:rPr>
        <w:t>2</w:t>
      </w:r>
      <w:r>
        <w:rPr>
          <w:rFonts w:hint="eastAsia" w:ascii="仿宋_GB2312" w:eastAsia="仿宋_GB2312" w:hAnsiTheme="minorHAnsi" w:cstheme="minorBidi"/>
          <w:kern w:val="2"/>
          <w:sz w:val="32"/>
          <w:szCs w:val="32"/>
        </w:rPr>
        <w:t>）一份；</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outlineLvl w:val="9"/>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lang w:val="en-US" w:eastAsia="zh-CN"/>
        </w:rPr>
        <w:t>3.</w:t>
      </w:r>
      <w:r>
        <w:rPr>
          <w:rFonts w:hint="eastAsia" w:ascii="仿宋_GB2312" w:eastAsia="仿宋_GB2312" w:hAnsiTheme="minorHAnsi" w:cstheme="minorBidi"/>
          <w:kern w:val="2"/>
          <w:sz w:val="32"/>
          <w:szCs w:val="32"/>
        </w:rPr>
        <w:t>经办人身份证复印件一份（正反双面，加盖公章）；</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outlineLvl w:val="9"/>
        <w:rPr>
          <w:rFonts w:hint="eastAsia" w:ascii="仿宋_GB2312" w:eastAsia="仿宋_GB2312" w:hAnsiTheme="minorHAnsi" w:cstheme="minorBidi"/>
          <w:kern w:val="2"/>
          <w:sz w:val="32"/>
          <w:szCs w:val="32"/>
          <w:lang w:eastAsia="zh-CN"/>
        </w:rPr>
      </w:pPr>
      <w:r>
        <w:rPr>
          <w:rFonts w:hint="eastAsia" w:ascii="仿宋_GB2312" w:eastAsia="仿宋_GB2312" w:hAnsiTheme="minorHAnsi" w:cstheme="minorBidi"/>
          <w:kern w:val="2"/>
          <w:sz w:val="32"/>
          <w:szCs w:val="32"/>
          <w:lang w:val="en-US" w:eastAsia="zh-CN"/>
        </w:rPr>
        <w:t>4.</w:t>
      </w:r>
      <w:r>
        <w:rPr>
          <w:rFonts w:hint="eastAsia" w:ascii="仿宋_GB2312" w:eastAsia="仿宋_GB2312" w:hAnsiTheme="minorHAnsi" w:cstheme="minorBidi"/>
          <w:kern w:val="2"/>
          <w:sz w:val="32"/>
          <w:szCs w:val="32"/>
        </w:rPr>
        <w:t>法人身份证复印件</w:t>
      </w:r>
      <w:r>
        <w:rPr>
          <w:rFonts w:hint="eastAsia" w:ascii="仿宋_GB2312" w:eastAsia="仿宋_GB2312" w:hAnsiTheme="minorHAnsi" w:cstheme="minorBidi"/>
          <w:kern w:val="2"/>
          <w:sz w:val="32"/>
          <w:szCs w:val="32"/>
          <w:lang w:eastAsia="zh-CN"/>
        </w:rPr>
        <w:t>一份</w:t>
      </w:r>
      <w:r>
        <w:rPr>
          <w:rFonts w:ascii="仿宋_GB2312" w:eastAsia="仿宋_GB2312" w:hAnsiTheme="minorHAnsi" w:cstheme="minorBidi"/>
          <w:kern w:val="2"/>
          <w:sz w:val="32"/>
          <w:szCs w:val="32"/>
        </w:rPr>
        <w:t>(</w:t>
      </w:r>
      <w:r>
        <w:rPr>
          <w:rFonts w:hint="eastAsia" w:ascii="仿宋_GB2312" w:eastAsia="仿宋_GB2312" w:hAnsiTheme="minorHAnsi" w:cstheme="minorBidi"/>
          <w:kern w:val="2"/>
          <w:sz w:val="32"/>
          <w:szCs w:val="32"/>
        </w:rPr>
        <w:t>加</w:t>
      </w:r>
      <w:r>
        <w:rPr>
          <w:rFonts w:ascii="仿宋_GB2312" w:eastAsia="仿宋_GB2312" w:hAnsiTheme="minorHAnsi" w:cstheme="minorBidi"/>
          <w:kern w:val="2"/>
          <w:sz w:val="32"/>
          <w:szCs w:val="32"/>
        </w:rPr>
        <w:t>盖公章）</w:t>
      </w:r>
      <w:r>
        <w:rPr>
          <w:rFonts w:hint="eastAsia" w:ascii="仿宋_GB2312" w:eastAsia="仿宋_GB2312" w:hAnsiTheme="minorHAnsi" w:cstheme="minorBidi"/>
          <w:kern w:val="2"/>
          <w:sz w:val="32"/>
          <w:szCs w:val="32"/>
          <w:lang w:eastAsia="zh-CN"/>
        </w:rPr>
        <w:t>；</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outlineLvl w:val="9"/>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lang w:val="en-US" w:eastAsia="zh-CN"/>
        </w:rPr>
        <w:t>5.</w:t>
      </w:r>
      <w:r>
        <w:rPr>
          <w:rFonts w:hint="eastAsia" w:ascii="仿宋_GB2312" w:eastAsia="仿宋_GB2312" w:hAnsiTheme="minorHAnsi" w:cstheme="minorBidi"/>
          <w:kern w:val="2"/>
          <w:sz w:val="32"/>
          <w:szCs w:val="32"/>
        </w:rPr>
        <w:t>营业执照或法人证书复印件一份</w:t>
      </w:r>
      <w:r>
        <w:rPr>
          <w:rFonts w:ascii="仿宋_GB2312" w:eastAsia="仿宋_GB2312" w:hAnsiTheme="minorHAnsi" w:cstheme="minorBidi"/>
          <w:kern w:val="2"/>
          <w:sz w:val="32"/>
          <w:szCs w:val="32"/>
        </w:rPr>
        <w:t>(</w:t>
      </w:r>
      <w:r>
        <w:rPr>
          <w:rFonts w:hint="eastAsia" w:ascii="仿宋_GB2312" w:eastAsia="仿宋_GB2312" w:hAnsiTheme="minorHAnsi" w:cstheme="minorBidi"/>
          <w:kern w:val="2"/>
          <w:sz w:val="32"/>
          <w:szCs w:val="32"/>
        </w:rPr>
        <w:t>加</w:t>
      </w:r>
      <w:r>
        <w:rPr>
          <w:rFonts w:ascii="仿宋_GB2312" w:eastAsia="仿宋_GB2312" w:hAnsiTheme="minorHAnsi" w:cstheme="minorBidi"/>
          <w:kern w:val="2"/>
          <w:sz w:val="32"/>
          <w:szCs w:val="32"/>
        </w:rPr>
        <w:t>盖公章）</w:t>
      </w:r>
      <w:r>
        <w:rPr>
          <w:rFonts w:hint="eastAsia" w:ascii="仿宋_GB2312" w:eastAsia="仿宋_GB2312" w:hAnsiTheme="minorHAnsi" w:cstheme="minorBidi"/>
          <w:kern w:val="2"/>
          <w:sz w:val="32"/>
          <w:szCs w:val="32"/>
        </w:rPr>
        <w:t>。</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outlineLvl w:val="9"/>
        <w:rPr>
          <w:rStyle w:val="11"/>
          <w:rFonts w:hint="eastAsia" w:ascii="黑体" w:hAnsi="黑体" w:eastAsia="黑体" w:cs="黑体"/>
          <w:b w:val="0"/>
          <w:bCs w:val="0"/>
          <w:sz w:val="32"/>
          <w:szCs w:val="32"/>
        </w:rPr>
      </w:pPr>
      <w:r>
        <w:rPr>
          <w:rStyle w:val="11"/>
          <w:rFonts w:hint="eastAsia" w:ascii="黑体" w:hAnsi="黑体" w:eastAsia="黑体" w:cs="黑体"/>
          <w:b w:val="0"/>
          <w:bCs w:val="0"/>
          <w:color w:val="2B2B2B"/>
          <w:sz w:val="32"/>
          <w:szCs w:val="32"/>
        </w:rPr>
        <w:t>二、网上业务办理功能</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outlineLvl w:val="9"/>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网上业务大厅支持单位日常业务网上自助办理功能，与临柜办理方式并存，缴存单位可自主选择网厅或柜面两种途径办理。</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outlineLvl w:val="9"/>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（一）业务办理功能</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outlineLvl w:val="9"/>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lang w:val="en-US" w:eastAsia="zh-CN"/>
        </w:rPr>
        <w:t>1.</w:t>
      </w:r>
      <w:r>
        <w:rPr>
          <w:rFonts w:hint="eastAsia" w:ascii="仿宋_GB2312" w:eastAsia="仿宋_GB2312" w:hAnsiTheme="minorHAnsi" w:cstheme="minorBidi"/>
          <w:kern w:val="2"/>
          <w:sz w:val="32"/>
          <w:szCs w:val="32"/>
        </w:rPr>
        <w:t>开设个人账户。当单位有新录用（调入）职工时，单位经办人可通过单位网厅办理个人账户的开设手续。录入个人信息缴存信息等。同一职工只允许开设一个住房公积金个人账号。</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outlineLvl w:val="9"/>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lang w:val="en-US" w:eastAsia="zh-CN"/>
        </w:rPr>
        <w:t>2.</w:t>
      </w:r>
      <w:r>
        <w:rPr>
          <w:rFonts w:hint="eastAsia" w:ascii="仿宋_GB2312" w:eastAsia="仿宋_GB2312" w:hAnsiTheme="minorHAnsi" w:cstheme="minorBidi"/>
          <w:kern w:val="2"/>
          <w:sz w:val="32"/>
          <w:szCs w:val="32"/>
        </w:rPr>
        <w:t>封存个人账户。单位破产或解散；职工与单位终止劳动关系，或与单位保留劳动关系但停止或暂停发放工资，暂时中断缴存住房公积金，且不符合销户提取条件的，单位经办人可通过单位网厅为职工办理住房公积金封存手续，将正常状态的职工个人账户（批量）调整为封存状态。</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outlineLvl w:val="9"/>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lang w:val="en-US" w:eastAsia="zh-CN"/>
        </w:rPr>
        <w:t>3.</w:t>
      </w:r>
      <w:r>
        <w:rPr>
          <w:rFonts w:hint="eastAsia" w:ascii="仿宋_GB2312" w:eastAsia="仿宋_GB2312" w:hAnsiTheme="minorHAnsi" w:cstheme="minorBidi"/>
          <w:kern w:val="2"/>
          <w:sz w:val="32"/>
          <w:szCs w:val="32"/>
        </w:rPr>
        <w:t>启封个人账户。职工个人账户恢复正常缴存的，单位经办人可通过单位网厅为职工办理住房公积金启封手续。</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outlineLvl w:val="9"/>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lang w:val="en-US" w:eastAsia="zh-CN"/>
        </w:rPr>
        <w:t>4.</w:t>
      </w:r>
      <w:r>
        <w:rPr>
          <w:rFonts w:hint="eastAsia" w:ascii="仿宋_GB2312" w:eastAsia="仿宋_GB2312" w:hAnsiTheme="minorHAnsi" w:cstheme="minorBidi"/>
          <w:kern w:val="2"/>
          <w:sz w:val="32"/>
          <w:szCs w:val="32"/>
        </w:rPr>
        <w:t>缴存基数调整。根据核定的缴存基数可调整单位账户下公积金账户状态为正常的职工缴存基数。职工住房公积金的缴存基数，每年核定一次。</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outlineLvl w:val="9"/>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lang w:val="en-US" w:eastAsia="zh-CN"/>
        </w:rPr>
        <w:t>5.</w:t>
      </w:r>
      <w:r>
        <w:rPr>
          <w:rFonts w:hint="eastAsia" w:ascii="仿宋_GB2312" w:eastAsia="仿宋_GB2312" w:hAnsiTheme="minorHAnsi" w:cstheme="minorBidi"/>
          <w:kern w:val="2"/>
          <w:sz w:val="32"/>
          <w:szCs w:val="32"/>
        </w:rPr>
        <w:t>单位汇（补）缴。单位经办人可通过单位网厅为职工办理住房公积金汇（补）缴手续。</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outlineLvl w:val="9"/>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（二）查询打印功能</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outlineLvl w:val="9"/>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lang w:val="en-US" w:eastAsia="zh-CN"/>
        </w:rPr>
        <w:t>1.</w:t>
      </w:r>
      <w:r>
        <w:rPr>
          <w:rFonts w:hint="eastAsia" w:ascii="仿宋_GB2312" w:eastAsia="仿宋_GB2312" w:hAnsiTheme="minorHAnsi" w:cstheme="minorBidi"/>
          <w:kern w:val="2"/>
          <w:sz w:val="32"/>
          <w:szCs w:val="32"/>
        </w:rPr>
        <w:t>职工信息查询。可按账户状态、职工账号、职工姓名和身份证号码等多种条件，选择查询、打印、导出单位职工清册。</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outlineLvl w:val="9"/>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lang w:val="en-US" w:eastAsia="zh-CN"/>
        </w:rPr>
        <w:t>2.</w:t>
      </w:r>
      <w:r>
        <w:rPr>
          <w:rFonts w:hint="eastAsia" w:ascii="仿宋_GB2312" w:eastAsia="仿宋_GB2312" w:hAnsiTheme="minorHAnsi" w:cstheme="minorBidi"/>
          <w:kern w:val="2"/>
          <w:sz w:val="32"/>
          <w:szCs w:val="32"/>
        </w:rPr>
        <w:t>单位信息查询。可按业务类型、业务周期，选择查询、打印、导出单位基本信息。</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outlineLvl w:val="9"/>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lang w:val="en-US" w:eastAsia="zh-CN"/>
        </w:rPr>
        <w:t>3.</w:t>
      </w:r>
      <w:r>
        <w:rPr>
          <w:rFonts w:hint="eastAsia" w:ascii="仿宋_GB2312" w:eastAsia="仿宋_GB2312" w:hAnsiTheme="minorHAnsi" w:cstheme="minorBidi"/>
          <w:kern w:val="2"/>
          <w:sz w:val="32"/>
          <w:szCs w:val="32"/>
        </w:rPr>
        <w:t>历史业务查询：可按业务类型、业务周期，选择查询、打印、导出历史业务信息。</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outlineLvl w:val="9"/>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（三）综合管理功能</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outlineLvl w:val="9"/>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lang w:val="en-US" w:eastAsia="zh-CN"/>
        </w:rPr>
        <w:t>1.</w:t>
      </w:r>
      <w:r>
        <w:rPr>
          <w:rFonts w:hint="eastAsia" w:ascii="仿宋_GB2312" w:eastAsia="仿宋_GB2312" w:hAnsiTheme="minorHAnsi" w:cstheme="minorBidi"/>
          <w:kern w:val="2"/>
          <w:sz w:val="32"/>
          <w:szCs w:val="32"/>
        </w:rPr>
        <w:t>单位信息。符合《住房公积金基础数据标准》规定的单位基础信息的录入与完善。单位经办人可通过单位网厅办理单位地址、法人代表姓名、经办人姓名、经办人手机号码等非关键信息的变更。</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outlineLvl w:val="9"/>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lang w:val="en-US" w:eastAsia="zh-CN"/>
        </w:rPr>
        <w:t>2.</w:t>
      </w:r>
      <w:r>
        <w:rPr>
          <w:rFonts w:hint="eastAsia" w:ascii="仿宋_GB2312" w:eastAsia="仿宋_GB2312" w:hAnsiTheme="minorHAnsi" w:cstheme="minorBidi"/>
          <w:kern w:val="2"/>
          <w:sz w:val="32"/>
          <w:szCs w:val="32"/>
        </w:rPr>
        <w:t>个人信息。符合《住房公积金基础数据标准》规定的个人基础信息的录入与完善，单位经办人可通过单位网厅办理职工的手机号码、婚姻状况、身份证号由15位升18位等非关键信息变更。</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outlineLvl w:val="9"/>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lang w:val="en-US" w:eastAsia="zh-CN"/>
        </w:rPr>
        <w:t>3.</w:t>
      </w:r>
      <w:r>
        <w:rPr>
          <w:rFonts w:hint="eastAsia" w:ascii="仿宋_GB2312" w:eastAsia="仿宋_GB2312" w:hAnsiTheme="minorHAnsi" w:cstheme="minorBidi"/>
          <w:kern w:val="2"/>
          <w:sz w:val="32"/>
          <w:szCs w:val="32"/>
        </w:rPr>
        <w:t>用户和密码维护。单位经办人变更的，可通过单位网厅修改单位联系人信息，并随时或定期修改网厅登录密码。</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outlineLvl w:val="9"/>
        <w:rPr>
          <w:rStyle w:val="11"/>
          <w:rFonts w:hint="eastAsia" w:ascii="黑体" w:hAnsi="黑体" w:eastAsia="黑体" w:cs="黑体"/>
          <w:b w:val="0"/>
          <w:bCs w:val="0"/>
          <w:sz w:val="32"/>
          <w:szCs w:val="32"/>
        </w:rPr>
      </w:pPr>
      <w:r>
        <w:rPr>
          <w:rStyle w:val="11"/>
          <w:rFonts w:hint="eastAsia" w:ascii="黑体" w:hAnsi="黑体" w:eastAsia="黑体" w:cs="黑体"/>
          <w:b w:val="0"/>
          <w:bCs w:val="0"/>
          <w:color w:val="2B2B2B"/>
          <w:sz w:val="32"/>
          <w:szCs w:val="32"/>
        </w:rPr>
        <w:t>三、网上业务办理流程</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outlineLvl w:val="9"/>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为保证单位当月汇（补）缴的住房公积金及时分解至职工个人账户，单位经办人在办理单位当月汇（补）缴住房公积金业务时，应遵循以下业务办理流程：</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outlineLvl w:val="9"/>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lang w:val="en-US" w:eastAsia="zh-CN"/>
        </w:rPr>
        <w:t>1.</w:t>
      </w:r>
      <w:r>
        <w:rPr>
          <w:rFonts w:hint="eastAsia" w:ascii="仿宋_GB2312" w:eastAsia="仿宋_GB2312" w:hAnsiTheme="minorHAnsi" w:cstheme="minorBidi"/>
          <w:kern w:val="2"/>
          <w:sz w:val="32"/>
          <w:szCs w:val="32"/>
        </w:rPr>
        <w:t>当月汇缴金额及职工人数等信息无变化的，可直接办理当月汇缴业务；</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outlineLvl w:val="9"/>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lang w:val="en-US" w:eastAsia="zh-CN"/>
        </w:rPr>
        <w:t>2.</w:t>
      </w:r>
      <w:r>
        <w:rPr>
          <w:rFonts w:hint="eastAsia" w:ascii="仿宋_GB2312" w:eastAsia="仿宋_GB2312" w:hAnsiTheme="minorHAnsi" w:cstheme="minorBidi"/>
          <w:kern w:val="2"/>
          <w:sz w:val="32"/>
          <w:szCs w:val="32"/>
        </w:rPr>
        <w:t>当月汇缴金额及职工人数等信息有变化的，应先进行变更清册、个人补缴、基数调整、职工转移等业务处理后，再行办理单位汇缴业务；</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outlineLvl w:val="9"/>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lang w:val="en-US" w:eastAsia="zh-CN"/>
        </w:rPr>
        <w:t>3.</w:t>
      </w:r>
      <w:r>
        <w:rPr>
          <w:rFonts w:hint="eastAsia" w:ascii="仿宋_GB2312" w:eastAsia="仿宋_GB2312" w:hAnsiTheme="minorHAnsi" w:cstheme="minorBidi"/>
          <w:kern w:val="2"/>
          <w:sz w:val="32"/>
          <w:szCs w:val="32"/>
        </w:rPr>
        <w:t>系统提示有其他未处理完毕业务的，应先进行相应业务处理后，再行办理单位汇缴业务。</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outlineLvl w:val="9"/>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lang w:val="en-US" w:eastAsia="zh-CN"/>
        </w:rPr>
        <w:t>4.</w:t>
      </w:r>
      <w:r>
        <w:rPr>
          <w:rFonts w:hint="eastAsia" w:ascii="仿宋_GB2312" w:eastAsia="仿宋_GB2312" w:hAnsiTheme="minorHAnsi" w:cstheme="minorBidi"/>
          <w:kern w:val="2"/>
          <w:sz w:val="32"/>
          <w:szCs w:val="32"/>
        </w:rPr>
        <w:t>确定汇（补）缴金额后，单位选择到银行柜面（或网上银行）转款的，应在备注信息中填写“缴款登记号”（不包括财政预算单位），以此作为资金与账户自动匹配的依据。</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outlineLvl w:val="9"/>
        <w:rPr>
          <w:rStyle w:val="11"/>
          <w:rFonts w:hint="eastAsia" w:ascii="黑体" w:hAnsi="黑体" w:eastAsia="黑体" w:cs="黑体"/>
          <w:b w:val="0"/>
          <w:bCs w:val="0"/>
          <w:sz w:val="32"/>
          <w:szCs w:val="32"/>
        </w:rPr>
      </w:pPr>
      <w:r>
        <w:rPr>
          <w:rStyle w:val="11"/>
          <w:rFonts w:hint="eastAsia" w:ascii="黑体" w:hAnsi="黑体" w:eastAsia="黑体" w:cs="黑体"/>
          <w:b w:val="0"/>
          <w:bCs w:val="0"/>
          <w:color w:val="2B2B2B"/>
          <w:sz w:val="32"/>
          <w:szCs w:val="32"/>
        </w:rPr>
        <w:t>四、安全保障机制</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outlineLvl w:val="9"/>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为保障住房公积金线上业务、资金和信息安全，中心依照《中华人民共和国电子签名法》和《住房公积金综合服务平台建设导则》等相关法律法规，通过政府采购方式引入了第三方电子认证服务，内容包括数字证书和证书存储介质，用于标识使用单位的网络订户的真实身份，被应用于单位网厅业务办理的身份验证环节。通过对网络上传输的业务信息进行加密和解密、数字签名和签名验证，确保网上传递信息的机密性、完整性，以及业务实体身份的真实性签名信息的不可否认性，从而保障网络应用的安全。</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outlineLvl w:val="9"/>
        <w:rPr>
          <w:rStyle w:val="11"/>
          <w:rFonts w:hint="eastAsia" w:ascii="黑体" w:hAnsi="黑体" w:eastAsia="黑体" w:cs="黑体"/>
          <w:b w:val="0"/>
          <w:bCs w:val="0"/>
          <w:sz w:val="32"/>
          <w:szCs w:val="32"/>
        </w:rPr>
      </w:pPr>
      <w:r>
        <w:rPr>
          <w:rStyle w:val="11"/>
          <w:rFonts w:hint="eastAsia" w:ascii="黑体" w:hAnsi="黑体" w:eastAsia="黑体" w:cs="黑体"/>
          <w:b w:val="0"/>
          <w:bCs w:val="0"/>
          <w:color w:val="2B2B2B"/>
          <w:sz w:val="32"/>
          <w:szCs w:val="32"/>
        </w:rPr>
        <w:t>五、资费说明</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outlineLvl w:val="9"/>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采用网上办理渠道使用数字认证服务的单位，由第三方电子认证服务机构发放数字证书并收取相关费用（第一年免费）。住房公积金管理中心不收取任何费用。</w:t>
      </w:r>
    </w:p>
    <w:p>
      <w:pPr>
        <w:widowControl/>
        <w:jc w:val="left"/>
        <w:rPr>
          <w:rFonts w:ascii="仿宋_GB2312" w:eastAsia="仿宋_GB2312"/>
          <w:sz w:val="32"/>
          <w:szCs w:val="32"/>
        </w:rPr>
      </w:pPr>
      <w:r>
        <w:rPr>
          <w:rFonts w:ascii="仿宋_GB2312" w:eastAsia="仿宋_GB2312"/>
          <w:sz w:val="32"/>
          <w:szCs w:val="32"/>
        </w:rPr>
        <w:br w:type="page"/>
      </w:r>
    </w:p>
    <w:p>
      <w:pPr>
        <w:pStyle w:val="2"/>
        <w:spacing w:before="120" w:after="120"/>
        <w:jc w:val="center"/>
        <w:rPr>
          <w:rFonts w:hint="eastAsia" w:ascii="黑体" w:hAnsi="黑体" w:eastAsia="黑体" w:cs="黑体"/>
          <w:b/>
          <w:bCs w:val="0"/>
        </w:rPr>
      </w:pPr>
      <w:r>
        <w:rPr>
          <w:rFonts w:hint="eastAsia" w:ascii="黑体" w:hAnsi="黑体" w:eastAsia="黑体" w:cs="黑体"/>
          <w:b w:val="0"/>
          <w:bCs/>
        </w:rPr>
        <w:t>咸宁市住房公积金网上业务受理单</w:t>
      </w:r>
    </w:p>
    <w:tbl>
      <w:tblPr>
        <w:tblStyle w:val="9"/>
        <w:tblpPr w:leftFromText="180" w:rightFromText="180" w:vertAnchor="text" w:horzAnchor="page" w:tblpXSpec="center" w:tblpY="250"/>
        <w:tblOverlap w:val="never"/>
        <w:tblW w:w="9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454"/>
        <w:gridCol w:w="456"/>
        <w:gridCol w:w="456"/>
        <w:gridCol w:w="457"/>
        <w:gridCol w:w="457"/>
        <w:gridCol w:w="456"/>
        <w:gridCol w:w="460"/>
        <w:gridCol w:w="119"/>
        <w:gridCol w:w="337"/>
        <w:gridCol w:w="457"/>
        <w:gridCol w:w="473"/>
        <w:gridCol w:w="440"/>
        <w:gridCol w:w="457"/>
        <w:gridCol w:w="456"/>
        <w:gridCol w:w="457"/>
        <w:gridCol w:w="457"/>
        <w:gridCol w:w="456"/>
        <w:gridCol w:w="457"/>
        <w:gridCol w:w="461"/>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595" w:type="dxa"/>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rPr>
              <w:t>单位名称</w:t>
            </w:r>
          </w:p>
        </w:tc>
        <w:tc>
          <w:tcPr>
            <w:tcW w:w="8234" w:type="dxa"/>
            <w:gridSpan w:val="20"/>
            <w:vAlign w:val="center"/>
          </w:tcPr>
          <w:p>
            <w:pP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595" w:type="dxa"/>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rPr>
              <w:t>单位账号</w:t>
            </w:r>
          </w:p>
        </w:tc>
        <w:tc>
          <w:tcPr>
            <w:tcW w:w="3196" w:type="dxa"/>
            <w:gridSpan w:val="7"/>
            <w:vAlign w:val="center"/>
          </w:tcPr>
          <w:p>
            <w:pPr>
              <w:rPr>
                <w:rFonts w:hint="eastAsia" w:ascii="微软雅黑" w:hAnsi="微软雅黑" w:eastAsia="微软雅黑" w:cs="微软雅黑"/>
                <w:sz w:val="24"/>
              </w:rPr>
            </w:pPr>
          </w:p>
        </w:tc>
        <w:tc>
          <w:tcPr>
            <w:tcW w:w="1386" w:type="dxa"/>
            <w:gridSpan w:val="4"/>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rPr>
              <w:t>网上业务</w:t>
            </w:r>
          </w:p>
        </w:tc>
        <w:tc>
          <w:tcPr>
            <w:tcW w:w="3652" w:type="dxa"/>
            <w:gridSpan w:val="9"/>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rPr>
              <w:t>□开通    □注销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595" w:type="dxa"/>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rPr>
              <w:t>法定代表人姓名</w:t>
            </w:r>
          </w:p>
        </w:tc>
        <w:tc>
          <w:tcPr>
            <w:tcW w:w="3196" w:type="dxa"/>
            <w:gridSpan w:val="7"/>
            <w:vAlign w:val="center"/>
          </w:tcPr>
          <w:p>
            <w:pPr>
              <w:rPr>
                <w:rFonts w:hint="eastAsia" w:ascii="微软雅黑" w:hAnsi="微软雅黑" w:eastAsia="微软雅黑" w:cs="微软雅黑"/>
                <w:sz w:val="24"/>
              </w:rPr>
            </w:pPr>
          </w:p>
        </w:tc>
        <w:tc>
          <w:tcPr>
            <w:tcW w:w="1386" w:type="dxa"/>
            <w:gridSpan w:val="4"/>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rPr>
              <w:t>联系电话</w:t>
            </w:r>
          </w:p>
        </w:tc>
        <w:tc>
          <w:tcPr>
            <w:tcW w:w="3652" w:type="dxa"/>
            <w:gridSpan w:val="9"/>
            <w:vAlign w:val="center"/>
          </w:tcPr>
          <w:p>
            <w:pPr>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07" w:hRule="atLeast"/>
        </w:trPr>
        <w:tc>
          <w:tcPr>
            <w:tcW w:w="1595" w:type="dxa"/>
            <w:tcBorders>
              <w:bottom w:val="single" w:color="auto" w:sz="4" w:space="0"/>
            </w:tcBorders>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rPr>
              <w:t>身份证号</w:t>
            </w:r>
          </w:p>
        </w:tc>
        <w:tc>
          <w:tcPr>
            <w:tcW w:w="454" w:type="dxa"/>
            <w:tcBorders>
              <w:bottom w:val="single" w:color="auto" w:sz="4" w:space="0"/>
            </w:tcBorders>
            <w:vAlign w:val="center"/>
          </w:tcPr>
          <w:p>
            <w:pPr>
              <w:jc w:val="center"/>
              <w:rPr>
                <w:rFonts w:hint="eastAsia" w:ascii="微软雅黑" w:hAnsi="微软雅黑" w:eastAsia="微软雅黑" w:cs="微软雅黑"/>
                <w:sz w:val="24"/>
              </w:rPr>
            </w:pPr>
          </w:p>
        </w:tc>
        <w:tc>
          <w:tcPr>
            <w:tcW w:w="456" w:type="dxa"/>
            <w:tcBorders>
              <w:bottom w:val="single" w:color="auto" w:sz="4" w:space="0"/>
            </w:tcBorders>
            <w:vAlign w:val="center"/>
          </w:tcPr>
          <w:p>
            <w:pPr>
              <w:jc w:val="center"/>
              <w:rPr>
                <w:rFonts w:hint="eastAsia" w:ascii="微软雅黑" w:hAnsi="微软雅黑" w:eastAsia="微软雅黑" w:cs="微软雅黑"/>
                <w:sz w:val="24"/>
              </w:rPr>
            </w:pPr>
          </w:p>
        </w:tc>
        <w:tc>
          <w:tcPr>
            <w:tcW w:w="456" w:type="dxa"/>
            <w:tcBorders>
              <w:bottom w:val="single" w:color="auto" w:sz="4" w:space="0"/>
            </w:tcBorders>
            <w:vAlign w:val="center"/>
          </w:tcPr>
          <w:p>
            <w:pPr>
              <w:jc w:val="center"/>
              <w:rPr>
                <w:rFonts w:hint="eastAsia" w:ascii="微软雅黑" w:hAnsi="微软雅黑" w:eastAsia="微软雅黑" w:cs="微软雅黑"/>
                <w:sz w:val="24"/>
              </w:rPr>
            </w:pPr>
          </w:p>
        </w:tc>
        <w:tc>
          <w:tcPr>
            <w:tcW w:w="457" w:type="dxa"/>
            <w:tcBorders>
              <w:bottom w:val="single" w:color="auto" w:sz="4" w:space="0"/>
            </w:tcBorders>
            <w:vAlign w:val="center"/>
          </w:tcPr>
          <w:p>
            <w:pPr>
              <w:jc w:val="center"/>
              <w:rPr>
                <w:rFonts w:hint="eastAsia" w:ascii="微软雅黑" w:hAnsi="微软雅黑" w:eastAsia="微软雅黑" w:cs="微软雅黑"/>
                <w:sz w:val="24"/>
              </w:rPr>
            </w:pPr>
          </w:p>
        </w:tc>
        <w:tc>
          <w:tcPr>
            <w:tcW w:w="457" w:type="dxa"/>
            <w:tcBorders>
              <w:bottom w:val="single" w:color="auto" w:sz="4" w:space="0"/>
            </w:tcBorders>
            <w:vAlign w:val="center"/>
          </w:tcPr>
          <w:p>
            <w:pPr>
              <w:jc w:val="center"/>
              <w:rPr>
                <w:rFonts w:hint="eastAsia" w:ascii="微软雅黑" w:hAnsi="微软雅黑" w:eastAsia="微软雅黑" w:cs="微软雅黑"/>
                <w:sz w:val="24"/>
              </w:rPr>
            </w:pPr>
          </w:p>
        </w:tc>
        <w:tc>
          <w:tcPr>
            <w:tcW w:w="456" w:type="dxa"/>
            <w:tcBorders>
              <w:bottom w:val="single" w:color="auto" w:sz="4" w:space="0"/>
            </w:tcBorders>
            <w:vAlign w:val="center"/>
          </w:tcPr>
          <w:p>
            <w:pPr>
              <w:jc w:val="center"/>
              <w:rPr>
                <w:rFonts w:hint="eastAsia" w:ascii="微软雅黑" w:hAnsi="微软雅黑" w:eastAsia="微软雅黑" w:cs="微软雅黑"/>
                <w:sz w:val="24"/>
              </w:rPr>
            </w:pPr>
          </w:p>
        </w:tc>
        <w:tc>
          <w:tcPr>
            <w:tcW w:w="460" w:type="dxa"/>
            <w:tcBorders>
              <w:bottom w:val="single" w:color="auto" w:sz="4" w:space="0"/>
            </w:tcBorders>
            <w:vAlign w:val="center"/>
          </w:tcPr>
          <w:p>
            <w:pPr>
              <w:jc w:val="center"/>
              <w:rPr>
                <w:rFonts w:hint="eastAsia" w:ascii="微软雅黑" w:hAnsi="微软雅黑" w:eastAsia="微软雅黑" w:cs="微软雅黑"/>
                <w:sz w:val="24"/>
              </w:rPr>
            </w:pPr>
          </w:p>
        </w:tc>
        <w:tc>
          <w:tcPr>
            <w:tcW w:w="456" w:type="dxa"/>
            <w:gridSpan w:val="2"/>
            <w:tcBorders>
              <w:bottom w:val="single" w:color="auto" w:sz="4" w:space="0"/>
            </w:tcBorders>
            <w:vAlign w:val="center"/>
          </w:tcPr>
          <w:p>
            <w:pPr>
              <w:jc w:val="center"/>
              <w:rPr>
                <w:rFonts w:hint="eastAsia" w:ascii="微软雅黑" w:hAnsi="微软雅黑" w:eastAsia="微软雅黑" w:cs="微软雅黑"/>
                <w:sz w:val="24"/>
              </w:rPr>
            </w:pPr>
          </w:p>
        </w:tc>
        <w:tc>
          <w:tcPr>
            <w:tcW w:w="457" w:type="dxa"/>
            <w:tcBorders>
              <w:bottom w:val="single" w:color="auto" w:sz="4" w:space="0"/>
            </w:tcBorders>
            <w:vAlign w:val="center"/>
          </w:tcPr>
          <w:p>
            <w:pPr>
              <w:jc w:val="center"/>
              <w:rPr>
                <w:rFonts w:hint="eastAsia" w:ascii="微软雅黑" w:hAnsi="微软雅黑" w:eastAsia="微软雅黑" w:cs="微软雅黑"/>
                <w:sz w:val="24"/>
              </w:rPr>
            </w:pPr>
          </w:p>
        </w:tc>
        <w:tc>
          <w:tcPr>
            <w:tcW w:w="473" w:type="dxa"/>
            <w:tcBorders>
              <w:bottom w:val="single" w:color="auto" w:sz="4" w:space="0"/>
            </w:tcBorders>
            <w:vAlign w:val="center"/>
          </w:tcPr>
          <w:p>
            <w:pPr>
              <w:jc w:val="center"/>
              <w:rPr>
                <w:rFonts w:hint="eastAsia" w:ascii="微软雅黑" w:hAnsi="微软雅黑" w:eastAsia="微软雅黑" w:cs="微软雅黑"/>
                <w:sz w:val="24"/>
              </w:rPr>
            </w:pPr>
          </w:p>
        </w:tc>
        <w:tc>
          <w:tcPr>
            <w:tcW w:w="440" w:type="dxa"/>
            <w:tcBorders>
              <w:bottom w:val="single" w:color="auto" w:sz="4" w:space="0"/>
            </w:tcBorders>
            <w:vAlign w:val="center"/>
          </w:tcPr>
          <w:p>
            <w:pPr>
              <w:jc w:val="center"/>
              <w:rPr>
                <w:rFonts w:hint="eastAsia" w:ascii="微软雅黑" w:hAnsi="微软雅黑" w:eastAsia="微软雅黑" w:cs="微软雅黑"/>
                <w:sz w:val="24"/>
              </w:rPr>
            </w:pPr>
          </w:p>
        </w:tc>
        <w:tc>
          <w:tcPr>
            <w:tcW w:w="457" w:type="dxa"/>
            <w:tcBorders>
              <w:bottom w:val="single" w:color="auto" w:sz="4" w:space="0"/>
            </w:tcBorders>
            <w:vAlign w:val="center"/>
          </w:tcPr>
          <w:p>
            <w:pPr>
              <w:jc w:val="center"/>
              <w:rPr>
                <w:rFonts w:hint="eastAsia" w:ascii="微软雅黑" w:hAnsi="微软雅黑" w:eastAsia="微软雅黑" w:cs="微软雅黑"/>
                <w:sz w:val="24"/>
              </w:rPr>
            </w:pPr>
          </w:p>
        </w:tc>
        <w:tc>
          <w:tcPr>
            <w:tcW w:w="456" w:type="dxa"/>
            <w:tcBorders>
              <w:bottom w:val="single" w:color="auto" w:sz="4" w:space="0"/>
            </w:tcBorders>
            <w:vAlign w:val="center"/>
          </w:tcPr>
          <w:p>
            <w:pPr>
              <w:jc w:val="center"/>
              <w:rPr>
                <w:rFonts w:hint="eastAsia" w:ascii="微软雅黑" w:hAnsi="微软雅黑" w:eastAsia="微软雅黑" w:cs="微软雅黑"/>
                <w:sz w:val="24"/>
              </w:rPr>
            </w:pPr>
          </w:p>
        </w:tc>
        <w:tc>
          <w:tcPr>
            <w:tcW w:w="457" w:type="dxa"/>
            <w:tcBorders>
              <w:bottom w:val="single" w:color="auto" w:sz="4" w:space="0"/>
            </w:tcBorders>
            <w:vAlign w:val="center"/>
          </w:tcPr>
          <w:p>
            <w:pPr>
              <w:jc w:val="center"/>
              <w:rPr>
                <w:rFonts w:hint="eastAsia" w:ascii="微软雅黑" w:hAnsi="微软雅黑" w:eastAsia="微软雅黑" w:cs="微软雅黑"/>
                <w:sz w:val="24"/>
              </w:rPr>
            </w:pPr>
          </w:p>
        </w:tc>
        <w:tc>
          <w:tcPr>
            <w:tcW w:w="457" w:type="dxa"/>
            <w:tcBorders>
              <w:bottom w:val="single" w:color="auto" w:sz="4" w:space="0"/>
            </w:tcBorders>
            <w:vAlign w:val="center"/>
          </w:tcPr>
          <w:p>
            <w:pPr>
              <w:jc w:val="center"/>
              <w:rPr>
                <w:rFonts w:hint="eastAsia" w:ascii="微软雅黑" w:hAnsi="微软雅黑" w:eastAsia="微软雅黑" w:cs="微软雅黑"/>
                <w:sz w:val="24"/>
              </w:rPr>
            </w:pPr>
          </w:p>
        </w:tc>
        <w:tc>
          <w:tcPr>
            <w:tcW w:w="456" w:type="dxa"/>
            <w:tcBorders>
              <w:bottom w:val="single" w:color="auto" w:sz="4" w:space="0"/>
            </w:tcBorders>
            <w:vAlign w:val="center"/>
          </w:tcPr>
          <w:p>
            <w:pPr>
              <w:jc w:val="center"/>
              <w:rPr>
                <w:rFonts w:hint="eastAsia" w:ascii="微软雅黑" w:hAnsi="微软雅黑" w:eastAsia="微软雅黑" w:cs="微软雅黑"/>
                <w:sz w:val="24"/>
              </w:rPr>
            </w:pPr>
          </w:p>
        </w:tc>
        <w:tc>
          <w:tcPr>
            <w:tcW w:w="457" w:type="dxa"/>
            <w:tcBorders>
              <w:bottom w:val="single" w:color="auto" w:sz="4" w:space="0"/>
            </w:tcBorders>
            <w:vAlign w:val="center"/>
          </w:tcPr>
          <w:p>
            <w:pPr>
              <w:jc w:val="center"/>
              <w:rPr>
                <w:rFonts w:hint="eastAsia" w:ascii="微软雅黑" w:hAnsi="微软雅黑" w:eastAsia="微软雅黑" w:cs="微软雅黑"/>
                <w:sz w:val="24"/>
              </w:rPr>
            </w:pPr>
          </w:p>
        </w:tc>
        <w:tc>
          <w:tcPr>
            <w:tcW w:w="461" w:type="dxa"/>
            <w:tcBorders>
              <w:bottom w:val="single" w:color="auto" w:sz="4" w:space="0"/>
            </w:tcBorders>
            <w:vAlign w:val="center"/>
          </w:tcPr>
          <w:p>
            <w:pPr>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9829" w:type="dxa"/>
            <w:gridSpan w:val="21"/>
            <w:tcBorders>
              <w:bottom w:val="nil"/>
            </w:tcBorders>
            <w:vAlign w:val="center"/>
          </w:tcPr>
          <w:p>
            <w:pPr>
              <w:spacing w:before="156" w:beforeLines="50" w:after="156" w:afterLines="50" w:line="400" w:lineRule="exact"/>
              <w:rPr>
                <w:rFonts w:hint="eastAsia" w:ascii="微软雅黑" w:hAnsi="微软雅黑" w:eastAsia="微软雅黑" w:cs="微软雅黑"/>
                <w:b/>
                <w:sz w:val="24"/>
              </w:rPr>
            </w:pPr>
            <w:r>
              <w:rPr>
                <w:rFonts w:hint="eastAsia" w:ascii="微软雅黑" w:hAnsi="微软雅黑" w:eastAsia="微软雅黑" w:cs="微软雅黑"/>
                <w:b/>
                <w:sz w:val="24"/>
              </w:rPr>
              <w:t>申请单位填写：</w:t>
            </w:r>
          </w:p>
          <w:p>
            <w:pPr>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郑重声明：我单位已经认真阅读理解并予以接受所有协议条款，现授权我单位</w:t>
            </w:r>
          </w:p>
          <w:p>
            <w:pPr>
              <w:numPr>
                <w:ilvl w:val="0"/>
                <w:numId w:val="2"/>
              </w:numPr>
              <w:spacing w:after="156" w:afterLines="50" w:line="520" w:lineRule="exact"/>
              <w:ind w:left="0"/>
              <w:jc w:val="left"/>
              <w:rPr>
                <w:rFonts w:hint="eastAsia" w:ascii="微软雅黑" w:hAnsi="微软雅黑" w:eastAsia="微软雅黑" w:cs="微软雅黑"/>
                <w:b/>
                <w:sz w:val="24"/>
              </w:rPr>
            </w:pP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（身份证号：</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，联系电话：</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）作为经办人代为办理本单位的住房公积金网上业务，包括代为提供申请资料、提交办理（注销）申请、网上业务办理操作等全部有关事项。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910" w:type="dxa"/>
            <w:gridSpan w:val="9"/>
            <w:tcBorders>
              <w:top w:val="nil"/>
              <w:bottom w:val="single" w:color="auto" w:sz="4" w:space="0"/>
              <w:right w:val="nil"/>
            </w:tcBorders>
          </w:tcPr>
          <w:p>
            <w:pPr>
              <w:spacing w:line="76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法定代表人签名：</w:t>
            </w:r>
          </w:p>
          <w:p>
            <w:pPr>
              <w:spacing w:before="312" w:beforeLines="100" w:line="76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单位经办人签名：</w:t>
            </w:r>
          </w:p>
        </w:tc>
        <w:tc>
          <w:tcPr>
            <w:tcW w:w="4919" w:type="dxa"/>
            <w:gridSpan w:val="12"/>
            <w:tcBorders>
              <w:top w:val="nil"/>
              <w:left w:val="nil"/>
              <w:bottom w:val="single" w:color="auto" w:sz="4" w:space="0"/>
            </w:tcBorders>
          </w:tcPr>
          <w:p>
            <w:pPr>
              <w:spacing w:line="76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申请单位（盖章）</w:t>
            </w:r>
          </w:p>
          <w:p>
            <w:pPr>
              <w:spacing w:before="312" w:beforeLines="100" w:line="76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申请日期：</w:t>
            </w:r>
            <w:r>
              <w:rPr>
                <w:rFonts w:hint="eastAsia" w:ascii="微软雅黑" w:hAnsi="微软雅黑" w:eastAsia="微软雅黑" w:cs="微软雅黑"/>
                <w:sz w:val="24"/>
                <w:u w:val="single"/>
              </w:rPr>
              <w:softHyphen/>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年</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月</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7" w:hRule="atLeast"/>
        </w:trPr>
        <w:tc>
          <w:tcPr>
            <w:tcW w:w="9829" w:type="dxa"/>
            <w:gridSpan w:val="21"/>
            <w:tcBorders>
              <w:bottom w:val="single" w:color="auto" w:sz="4" w:space="0"/>
            </w:tcBorders>
            <w:vAlign w:val="center"/>
          </w:tcPr>
          <w:p>
            <w:pPr>
              <w:numPr>
                <w:ilvl w:val="0"/>
                <w:numId w:val="2"/>
              </w:numPr>
              <w:spacing w:after="156" w:afterLines="50" w:line="520" w:lineRule="exact"/>
              <w:ind w:left="0"/>
              <w:jc w:val="left"/>
              <w:rPr>
                <w:rFonts w:hint="eastAsia" w:ascii="微软雅黑" w:hAnsi="微软雅黑" w:eastAsia="微软雅黑" w:cs="微软雅黑"/>
                <w:b/>
                <w:sz w:val="24"/>
              </w:rPr>
            </w:pPr>
            <w:r>
              <w:rPr>
                <w:rFonts w:hint="eastAsia" w:ascii="微软雅黑" w:hAnsi="微软雅黑" w:eastAsia="微软雅黑" w:cs="微软雅黑"/>
                <w:b/>
                <w:sz w:val="24"/>
              </w:rPr>
              <w:t>用户须知：</w:t>
            </w:r>
          </w:p>
          <w:p>
            <w:pPr>
              <w:spacing w:line="440" w:lineRule="exact"/>
              <w:jc w:val="left"/>
              <w:rPr>
                <w:rFonts w:hint="eastAsia" w:ascii="微软雅黑" w:hAnsi="微软雅黑" w:eastAsia="微软雅黑" w:cs="微软雅黑"/>
                <w:sz w:val="24"/>
              </w:rPr>
            </w:pPr>
            <w:r>
              <w:rPr>
                <w:rFonts w:hint="eastAsia" w:ascii="微软雅黑" w:hAnsi="微软雅黑" w:eastAsia="微软雅黑" w:cs="微软雅黑"/>
                <w:sz w:val="24"/>
              </w:rPr>
              <w:t>■在填写本受理单前，请认真阅读《咸宁市住房公积金网上业务办理协议》。</w:t>
            </w:r>
          </w:p>
          <w:p>
            <w:pPr>
              <w:spacing w:line="440" w:lineRule="exact"/>
              <w:jc w:val="left"/>
              <w:rPr>
                <w:rFonts w:hint="eastAsia" w:ascii="微软雅黑" w:hAnsi="微软雅黑" w:eastAsia="微软雅黑" w:cs="微软雅黑"/>
                <w:sz w:val="24"/>
              </w:rPr>
            </w:pPr>
            <w:r>
              <w:rPr>
                <w:rFonts w:hint="eastAsia" w:ascii="微软雅黑" w:hAnsi="微软雅黑" w:eastAsia="微软雅黑" w:cs="微软雅黑"/>
                <w:sz w:val="24"/>
              </w:rPr>
              <w:t>■具备以下资格的单位均可申请开通网上业务。</w:t>
            </w:r>
          </w:p>
          <w:p>
            <w:pPr>
              <w:spacing w:line="440" w:lineRule="exact"/>
              <w:jc w:val="left"/>
              <w:rPr>
                <w:rFonts w:hint="eastAsia" w:ascii="微软雅黑" w:hAnsi="微软雅黑" w:eastAsia="微软雅黑" w:cs="微软雅黑"/>
                <w:sz w:val="24"/>
              </w:rPr>
            </w:pPr>
            <w:r>
              <w:rPr>
                <w:rFonts w:hint="eastAsia" w:ascii="微软雅黑" w:hAnsi="微软雅黑" w:eastAsia="微软雅黑" w:cs="微软雅黑"/>
                <w:sz w:val="24"/>
              </w:rPr>
              <w:t>1.在咸宁市住房公积金管理中心设立缴存账户的单位。</w:t>
            </w:r>
          </w:p>
          <w:p>
            <w:pPr>
              <w:spacing w:line="440" w:lineRule="exact"/>
              <w:jc w:val="left"/>
              <w:rPr>
                <w:rFonts w:hint="eastAsia" w:ascii="微软雅黑" w:hAnsi="微软雅黑" w:eastAsia="微软雅黑" w:cs="微软雅黑"/>
                <w:sz w:val="24"/>
              </w:rPr>
            </w:pPr>
            <w:r>
              <w:rPr>
                <w:rFonts w:hint="eastAsia" w:ascii="微软雅黑" w:hAnsi="微软雅黑" w:eastAsia="微软雅黑" w:cs="微软雅黑"/>
                <w:sz w:val="24"/>
              </w:rPr>
              <w:t>2.具备登录互联网条件和计算机安全防护措施，并指定专人负责网上业务的单位。</w:t>
            </w:r>
          </w:p>
          <w:p>
            <w:pPr>
              <w:spacing w:line="440" w:lineRule="exact"/>
              <w:jc w:val="left"/>
              <w:rPr>
                <w:rFonts w:hint="eastAsia" w:ascii="微软雅黑" w:hAnsi="微软雅黑" w:eastAsia="微软雅黑" w:cs="微软雅黑"/>
                <w:sz w:val="24"/>
              </w:rPr>
            </w:pPr>
            <w:r>
              <w:rPr>
                <w:rFonts w:hint="eastAsia" w:ascii="微软雅黑" w:hAnsi="微软雅黑" w:eastAsia="微软雅黑" w:cs="微软雅黑"/>
                <w:sz w:val="24"/>
              </w:rPr>
              <w:t>3.符合《住房公积金基础数据标准》要求，并且在咸宁市住房公积金综合管理业务系统内显示的单位信息和个人信息完整准确的单位。</w:t>
            </w:r>
          </w:p>
          <w:p>
            <w:pPr>
              <w:spacing w:line="440" w:lineRule="exact"/>
              <w:jc w:val="left"/>
              <w:rPr>
                <w:rFonts w:hint="eastAsia" w:ascii="微软雅黑" w:hAnsi="微软雅黑" w:eastAsia="微软雅黑" w:cs="微软雅黑"/>
                <w:sz w:val="24"/>
              </w:rPr>
            </w:pPr>
            <w:r>
              <w:rPr>
                <w:rFonts w:hint="eastAsia" w:ascii="微软雅黑" w:hAnsi="微软雅黑" w:eastAsia="微软雅黑" w:cs="微软雅黑"/>
                <w:sz w:val="24"/>
              </w:rPr>
              <w:t>■ 本受理单由受理单位和申请单位分别留存。</w:t>
            </w:r>
          </w:p>
        </w:tc>
      </w:tr>
    </w:tbl>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rPr>
      </w:pPr>
      <w:r>
        <w:rPr>
          <w:rFonts w:hint="eastAsia" w:ascii="微软雅黑" w:hAnsi="微软雅黑" w:eastAsia="微软雅黑" w:cs="微软雅黑"/>
        </w:rPr>
        <w:t>咸宁市住房公积金中心    客服热线：0715</w:t>
      </w:r>
      <w:r>
        <w:rPr>
          <w:rFonts w:hint="eastAsia" w:ascii="微软雅黑" w:hAnsi="微软雅黑" w:eastAsia="微软雅黑" w:cs="微软雅黑"/>
          <w:lang w:val="en-US" w:eastAsia="zh-CN"/>
        </w:rPr>
        <w:t>-</w:t>
      </w:r>
      <w:r>
        <w:rPr>
          <w:rFonts w:hint="eastAsia" w:ascii="微软雅黑" w:hAnsi="微软雅黑" w:eastAsia="微软雅黑" w:cs="微软雅黑"/>
        </w:rPr>
        <w:t xml:space="preserve">12329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rPr>
      </w:pPr>
      <w:r>
        <w:rPr>
          <w:rFonts w:hint="eastAsia" w:ascii="微软雅黑" w:hAnsi="微软雅黑" w:eastAsia="微软雅黑" w:cs="微软雅黑"/>
        </w:rPr>
        <w:t>网站：</w:t>
      </w:r>
      <w:r>
        <w:rPr>
          <w:rStyle w:val="12"/>
          <w:rFonts w:hint="eastAsia" w:ascii="微软雅黑" w:hAnsi="微软雅黑" w:eastAsia="微软雅黑" w:cs="微软雅黑"/>
        </w:rPr>
        <w:t>www.xngjjapp.com/netface/login.do</w:t>
      </w:r>
      <w:r>
        <w:rPr>
          <w:rFonts w:hint="eastAsia" w:ascii="微软雅黑" w:hAnsi="微软雅黑" w:eastAsia="微软雅黑" w:cs="微软雅黑"/>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rPr>
      </w:pPr>
      <w:r>
        <w:rPr>
          <w:rFonts w:hint="eastAsia" w:ascii="微软雅黑" w:hAnsi="微软雅黑" w:eastAsia="微软雅黑" w:cs="微软雅黑"/>
        </w:rPr>
        <w:t xml:space="preserve">地址：咸宁市咸安区旗鼓大道101号咸宁市民之家3楼   </w:t>
      </w:r>
    </w:p>
    <w:p>
      <w:pPr>
        <w:spacing w:line="300" w:lineRule="exact"/>
        <w:jc w:val="left"/>
        <w:rPr>
          <w:rStyle w:val="12"/>
          <w:rFonts w:ascii="Arial Unicode MS" w:hAnsi="Arial Unicode MS" w:eastAsia="Arial Unicode MS" w:cs="Arial Unicode MS"/>
        </w:rPr>
      </w:pPr>
      <w:r>
        <w:rPr>
          <w:rFonts w:hint="eastAsia"/>
        </w:rPr>
        <w:t xml:space="preserve">        </w:t>
      </w:r>
    </w:p>
    <w:p>
      <w:pPr>
        <w:spacing w:after="312" w:afterLines="100" w:line="300" w:lineRule="exact"/>
        <w:jc w:val="center"/>
        <w:rPr>
          <w:rFonts w:hint="eastAsia" w:ascii="黑体" w:hAnsi="黑体" w:eastAsia="黑体" w:cs="黑体"/>
          <w:b/>
          <w:bCs w:val="0"/>
          <w:sz w:val="28"/>
          <w:szCs w:val="28"/>
        </w:rPr>
      </w:pPr>
      <w:r>
        <w:rPr>
          <w:rFonts w:hint="eastAsia" w:ascii="黑体" w:hAnsi="黑体" w:eastAsia="黑体" w:cs="黑体"/>
          <w:b/>
          <w:bCs w:val="0"/>
          <w:sz w:val="28"/>
          <w:szCs w:val="28"/>
        </w:rPr>
        <w:t>咸宁市住房公积金网上业务办理协议</w:t>
      </w:r>
    </w:p>
    <w:p>
      <w:pPr>
        <w:keepNext w:val="0"/>
        <w:keepLines w:val="0"/>
        <w:pageBreakBefore w:val="0"/>
        <w:widowControl w:val="0"/>
        <w:kinsoku/>
        <w:wordWrap/>
        <w:overflowPunct/>
        <w:topLinePunct w:val="0"/>
        <w:autoSpaceDE/>
        <w:autoSpaceDN/>
        <w:bidi w:val="0"/>
        <w:adjustRightInd/>
        <w:snapToGrid w:val="0"/>
        <w:spacing w:line="220" w:lineRule="exact"/>
        <w:ind w:firstLine="420" w:firstLineChars="200"/>
        <w:jc w:val="left"/>
        <w:textAlignment w:val="auto"/>
        <w:outlineLvl w:val="9"/>
        <w:rPr>
          <w:rFonts w:hint="eastAsia" w:ascii="微软雅黑" w:hAnsi="微软雅黑" w:eastAsia="微软雅黑" w:cs="微软雅黑"/>
          <w:b/>
          <w:color w:val="000000"/>
          <w:sz w:val="21"/>
          <w:szCs w:val="21"/>
          <w:u w:val="single"/>
        </w:rPr>
      </w:pPr>
      <w:r>
        <w:rPr>
          <w:rFonts w:hint="eastAsia" w:ascii="微软雅黑" w:hAnsi="微软雅黑" w:eastAsia="微软雅黑" w:cs="微软雅黑"/>
          <w:b/>
          <w:color w:val="000000"/>
          <w:sz w:val="21"/>
          <w:szCs w:val="21"/>
        </w:rPr>
        <w:t xml:space="preserve">甲方： </w:t>
      </w:r>
      <w:r>
        <w:rPr>
          <w:rFonts w:hint="eastAsia" w:ascii="微软雅黑" w:hAnsi="微软雅黑" w:eastAsia="微软雅黑" w:cs="微软雅黑"/>
          <w:b/>
          <w:color w:val="000000"/>
          <w:sz w:val="21"/>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220" w:lineRule="exact"/>
        <w:ind w:firstLine="420" w:firstLineChars="200"/>
        <w:jc w:val="left"/>
        <w:textAlignment w:val="auto"/>
        <w:outlineLvl w:val="9"/>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sz w:val="21"/>
          <w:szCs w:val="21"/>
        </w:rPr>
        <w:t>乙方：咸宁市住房公积金</w:t>
      </w:r>
      <w:bookmarkStart w:id="1" w:name="_GoBack"/>
      <w:bookmarkEnd w:id="1"/>
      <w:r>
        <w:rPr>
          <w:rFonts w:hint="eastAsia" w:ascii="微软雅黑" w:hAnsi="微软雅黑" w:eastAsia="微软雅黑" w:cs="微软雅黑"/>
          <w:b/>
          <w:color w:val="000000"/>
          <w:sz w:val="21"/>
          <w:szCs w:val="21"/>
        </w:rPr>
        <w:t>中心</w:t>
      </w:r>
    </w:p>
    <w:p>
      <w:pPr>
        <w:keepNext w:val="0"/>
        <w:keepLines w:val="0"/>
        <w:pageBreakBefore w:val="0"/>
        <w:widowControl w:val="0"/>
        <w:kinsoku/>
        <w:wordWrap/>
        <w:overflowPunct/>
        <w:topLinePunct w:val="0"/>
        <w:autoSpaceDE/>
        <w:autoSpaceDN/>
        <w:bidi w:val="0"/>
        <w:adjustRightInd/>
        <w:snapToGrid w:val="0"/>
        <w:spacing w:line="220" w:lineRule="exact"/>
        <w:ind w:firstLine="420" w:firstLineChars="200"/>
        <w:jc w:val="left"/>
        <w:textAlignment w:val="auto"/>
        <w:outlineLvl w:val="9"/>
        <w:rPr>
          <w:rFonts w:hint="eastAsia" w:ascii="微软雅黑" w:hAnsi="微软雅黑" w:eastAsia="微软雅黑" w:cs="微软雅黑"/>
          <w:b/>
          <w:color w:val="000000"/>
          <w:sz w:val="21"/>
          <w:szCs w:val="21"/>
        </w:rPr>
      </w:pPr>
    </w:p>
    <w:p>
      <w:pPr>
        <w:keepNext w:val="0"/>
        <w:keepLines w:val="0"/>
        <w:pageBreakBefore w:val="0"/>
        <w:widowControl w:val="0"/>
        <w:kinsoku/>
        <w:wordWrap/>
        <w:overflowPunct/>
        <w:topLinePunct w:val="0"/>
        <w:autoSpaceDE/>
        <w:autoSpaceDN/>
        <w:bidi w:val="0"/>
        <w:adjustRightInd/>
        <w:snapToGrid w:val="0"/>
        <w:spacing w:line="220" w:lineRule="exact"/>
        <w:ind w:firstLine="420" w:firstLineChars="200"/>
        <w:jc w:val="left"/>
        <w:textAlignment w:val="auto"/>
        <w:outlineLvl w:val="9"/>
        <w:rPr>
          <w:rFonts w:hint="eastAsia" w:ascii="微软雅黑" w:hAnsi="微软雅黑" w:eastAsia="微软雅黑" w:cs="微软雅黑"/>
          <w:color w:val="000000"/>
          <w:sz w:val="21"/>
          <w:szCs w:val="21"/>
        </w:rPr>
      </w:pPr>
      <w:r>
        <w:rPr>
          <w:rFonts w:hint="eastAsia" w:ascii="微软雅黑" w:hAnsi="微软雅黑" w:eastAsia="微软雅黑" w:cs="微软雅黑"/>
          <w:b/>
          <w:color w:val="000000"/>
          <w:sz w:val="21"/>
          <w:szCs w:val="21"/>
        </w:rPr>
        <w:t xml:space="preserve">第一条 </w:t>
      </w:r>
      <w:r>
        <w:rPr>
          <w:rFonts w:hint="eastAsia" w:ascii="微软雅黑" w:hAnsi="微软雅黑" w:eastAsia="微软雅黑" w:cs="微软雅黑"/>
          <w:color w:val="000000"/>
          <w:sz w:val="21"/>
          <w:szCs w:val="21"/>
        </w:rPr>
        <w:t xml:space="preserve"> 为明确甲、乙双方的权利和义务，规范双方的业务行为，根据国家有关法律、法规，本着自愿、平等的原则制定本协议。</w:t>
      </w:r>
    </w:p>
    <w:p>
      <w:pPr>
        <w:keepNext w:val="0"/>
        <w:keepLines w:val="0"/>
        <w:pageBreakBefore w:val="0"/>
        <w:widowControl w:val="0"/>
        <w:kinsoku/>
        <w:wordWrap/>
        <w:overflowPunct/>
        <w:topLinePunct w:val="0"/>
        <w:autoSpaceDE/>
        <w:autoSpaceDN/>
        <w:bidi w:val="0"/>
        <w:adjustRightInd/>
        <w:snapToGrid w:val="0"/>
        <w:spacing w:line="220" w:lineRule="exact"/>
        <w:ind w:firstLine="420" w:firstLineChars="200"/>
        <w:jc w:val="lef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b/>
          <w:color w:val="000000"/>
          <w:sz w:val="21"/>
          <w:szCs w:val="21"/>
        </w:rPr>
        <w:t xml:space="preserve">第二条 </w:t>
      </w:r>
      <w:r>
        <w:rPr>
          <w:rFonts w:hint="eastAsia" w:ascii="微软雅黑" w:hAnsi="微软雅黑" w:eastAsia="微软雅黑" w:cs="微软雅黑"/>
          <w:b/>
          <w:sz w:val="21"/>
          <w:szCs w:val="21"/>
        </w:rPr>
        <w:t xml:space="preserve"> </w:t>
      </w:r>
      <w:r>
        <w:rPr>
          <w:rFonts w:hint="eastAsia" w:ascii="微软雅黑" w:hAnsi="微软雅黑" w:eastAsia="微软雅黑" w:cs="微软雅黑"/>
          <w:sz w:val="21"/>
          <w:szCs w:val="21"/>
        </w:rPr>
        <w:t>本协议仅适用于住房公积金缴存单位网上业务的办理。</w:t>
      </w:r>
    </w:p>
    <w:p>
      <w:pPr>
        <w:keepNext w:val="0"/>
        <w:keepLines w:val="0"/>
        <w:pageBreakBefore w:val="0"/>
        <w:widowControl w:val="0"/>
        <w:kinsoku/>
        <w:wordWrap/>
        <w:overflowPunct/>
        <w:topLinePunct w:val="0"/>
        <w:autoSpaceDE/>
        <w:autoSpaceDN/>
        <w:bidi w:val="0"/>
        <w:adjustRightInd/>
        <w:snapToGrid w:val="0"/>
        <w:spacing w:line="220" w:lineRule="exact"/>
        <w:ind w:firstLine="420" w:firstLineChars="200"/>
        <w:jc w:val="left"/>
        <w:textAlignment w:val="auto"/>
        <w:outlineLvl w:val="9"/>
        <w:rPr>
          <w:rFonts w:hint="eastAsia" w:ascii="微软雅黑" w:hAnsi="微软雅黑" w:eastAsia="微软雅黑" w:cs="微软雅黑"/>
          <w:color w:val="000000"/>
          <w:sz w:val="21"/>
          <w:szCs w:val="21"/>
        </w:rPr>
      </w:pPr>
      <w:r>
        <w:rPr>
          <w:rFonts w:hint="eastAsia" w:ascii="微软雅黑" w:hAnsi="微软雅黑" w:eastAsia="微软雅黑" w:cs="微软雅黑"/>
          <w:b/>
          <w:color w:val="000000"/>
          <w:sz w:val="21"/>
          <w:szCs w:val="21"/>
        </w:rPr>
        <w:t>第三条</w:t>
      </w:r>
      <w:r>
        <w:rPr>
          <w:rFonts w:hint="eastAsia" w:ascii="微软雅黑" w:hAnsi="微软雅黑" w:eastAsia="微软雅黑" w:cs="微软雅黑"/>
          <w:color w:val="000000"/>
          <w:sz w:val="21"/>
          <w:szCs w:val="21"/>
        </w:rPr>
        <w:t xml:space="preserve">  甲方的权利和义务</w:t>
      </w:r>
    </w:p>
    <w:p>
      <w:pPr>
        <w:keepNext w:val="0"/>
        <w:keepLines w:val="0"/>
        <w:pageBreakBefore w:val="0"/>
        <w:widowControl w:val="0"/>
        <w:kinsoku/>
        <w:wordWrap/>
        <w:overflowPunct/>
        <w:topLinePunct w:val="0"/>
        <w:autoSpaceDE/>
        <w:autoSpaceDN/>
        <w:bidi w:val="0"/>
        <w:adjustRightInd/>
        <w:snapToGrid w:val="0"/>
        <w:spacing w:line="220" w:lineRule="exact"/>
        <w:ind w:firstLine="420" w:firstLineChars="200"/>
        <w:jc w:val="left"/>
        <w:textAlignment w:val="auto"/>
        <w:outlineLvl w:val="9"/>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一）甲方在咸宁市住房公积金管理中心开立住房公积金账户后，可申请使用住房公积金网上业务大厅系统（以下简称“网上业务大厅系统”）。由甲方经办人携带身份证、加盖印鉴的《咸宁市住房公积金网上业务受理单》到乙方办理申请事宜。</w:t>
      </w:r>
    </w:p>
    <w:p>
      <w:pPr>
        <w:keepNext w:val="0"/>
        <w:keepLines w:val="0"/>
        <w:pageBreakBefore w:val="0"/>
        <w:widowControl w:val="0"/>
        <w:kinsoku/>
        <w:wordWrap/>
        <w:overflowPunct/>
        <w:topLinePunct w:val="0"/>
        <w:autoSpaceDE/>
        <w:autoSpaceDN/>
        <w:bidi w:val="0"/>
        <w:adjustRightInd/>
        <w:snapToGrid w:val="0"/>
        <w:spacing w:line="220" w:lineRule="exact"/>
        <w:ind w:firstLine="420" w:firstLineChars="200"/>
        <w:jc w:val="left"/>
        <w:textAlignment w:val="auto"/>
        <w:outlineLvl w:val="9"/>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（二）甲方可以通过登录乙方网上业务大厅系统办理个人开户、封存、启封、基数调整、公积金汇缴登记及各类查询业务。</w:t>
      </w:r>
    </w:p>
    <w:p>
      <w:pPr>
        <w:keepNext w:val="0"/>
        <w:keepLines w:val="0"/>
        <w:pageBreakBefore w:val="0"/>
        <w:widowControl w:val="0"/>
        <w:kinsoku/>
        <w:wordWrap/>
        <w:overflowPunct/>
        <w:topLinePunct w:val="0"/>
        <w:autoSpaceDE/>
        <w:autoSpaceDN/>
        <w:bidi w:val="0"/>
        <w:adjustRightInd/>
        <w:snapToGrid w:val="0"/>
        <w:spacing w:line="220" w:lineRule="exact"/>
        <w:ind w:firstLine="420" w:firstLineChars="200"/>
        <w:jc w:val="left"/>
        <w:textAlignment w:val="auto"/>
        <w:outlineLvl w:val="9"/>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sz w:val="21"/>
          <w:szCs w:val="21"/>
        </w:rPr>
        <w:t>（三）甲方需通过CA证书登录使用网上业务大厅系统。乙方以此作为识别客户有效身份的标识</w:t>
      </w:r>
      <w:r>
        <w:rPr>
          <w:rFonts w:hint="eastAsia" w:ascii="微软雅黑" w:hAnsi="微软雅黑" w:eastAsia="微软雅黑" w:cs="微软雅黑"/>
          <w:color w:val="000000"/>
          <w:kern w:val="0"/>
          <w:sz w:val="21"/>
          <w:szCs w:val="21"/>
        </w:rPr>
        <w:t>，对使用以上标识进行的操作均视为甲方行为。</w:t>
      </w:r>
    </w:p>
    <w:p>
      <w:pPr>
        <w:keepNext w:val="0"/>
        <w:keepLines w:val="0"/>
        <w:pageBreakBefore w:val="0"/>
        <w:widowControl w:val="0"/>
        <w:kinsoku/>
        <w:wordWrap/>
        <w:overflowPunct/>
        <w:topLinePunct w:val="0"/>
        <w:autoSpaceDE/>
        <w:autoSpaceDN/>
        <w:bidi w:val="0"/>
        <w:adjustRightInd/>
        <w:snapToGrid w:val="0"/>
        <w:spacing w:line="220" w:lineRule="exact"/>
        <w:ind w:firstLine="420" w:firstLineChars="200"/>
        <w:jc w:val="left"/>
        <w:textAlignment w:val="auto"/>
        <w:outlineLvl w:val="9"/>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甲方应妥善保管好</w:t>
      </w:r>
      <w:r>
        <w:rPr>
          <w:rFonts w:hint="eastAsia" w:ascii="微软雅黑" w:hAnsi="微软雅黑" w:eastAsia="微软雅黑" w:cs="微软雅黑"/>
          <w:color w:val="000000"/>
          <w:sz w:val="21"/>
          <w:szCs w:val="21"/>
        </w:rPr>
        <w:t>CA证书</w:t>
      </w:r>
      <w:r>
        <w:rPr>
          <w:rFonts w:hint="eastAsia" w:ascii="微软雅黑" w:hAnsi="微软雅黑" w:eastAsia="微软雅黑" w:cs="微软雅黑"/>
          <w:color w:val="000000"/>
          <w:kern w:val="0"/>
          <w:sz w:val="21"/>
          <w:szCs w:val="21"/>
        </w:rPr>
        <w:t>，如若丢失，应及时办理挂失及补办手续，否则造成的损失，由甲方自行承担。</w:t>
      </w:r>
    </w:p>
    <w:p>
      <w:pPr>
        <w:keepNext w:val="0"/>
        <w:keepLines w:val="0"/>
        <w:pageBreakBefore w:val="0"/>
        <w:widowControl w:val="0"/>
        <w:kinsoku/>
        <w:wordWrap/>
        <w:overflowPunct/>
        <w:topLinePunct w:val="0"/>
        <w:autoSpaceDE/>
        <w:autoSpaceDN/>
        <w:bidi w:val="0"/>
        <w:adjustRightInd/>
        <w:snapToGrid w:val="0"/>
        <w:spacing w:line="220" w:lineRule="exact"/>
        <w:ind w:firstLine="420" w:firstLineChars="200"/>
        <w:jc w:val="left"/>
        <w:textAlignment w:val="auto"/>
        <w:outlineLvl w:val="9"/>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sz w:val="21"/>
          <w:szCs w:val="21"/>
        </w:rPr>
        <w:t>（四）甲方应按照相关法规和规定办理各项业务，及时为职工办理住房公积金缴存变更、汇缴手续。</w:t>
      </w:r>
    </w:p>
    <w:p>
      <w:pPr>
        <w:keepNext w:val="0"/>
        <w:keepLines w:val="0"/>
        <w:pageBreakBefore w:val="0"/>
        <w:widowControl w:val="0"/>
        <w:kinsoku/>
        <w:wordWrap/>
        <w:overflowPunct/>
        <w:topLinePunct w:val="0"/>
        <w:autoSpaceDE/>
        <w:autoSpaceDN/>
        <w:bidi w:val="0"/>
        <w:adjustRightInd/>
        <w:snapToGrid w:val="0"/>
        <w:spacing w:line="220" w:lineRule="exact"/>
        <w:ind w:firstLine="420" w:firstLineChars="200"/>
        <w:jc w:val="left"/>
        <w:textAlignment w:val="auto"/>
        <w:outlineLvl w:val="9"/>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sz w:val="21"/>
          <w:szCs w:val="21"/>
        </w:rPr>
        <w:t>（五）甲方</w:t>
      </w:r>
      <w:r>
        <w:rPr>
          <w:rFonts w:hint="eastAsia" w:ascii="微软雅黑" w:hAnsi="微软雅黑" w:eastAsia="微软雅黑" w:cs="微软雅黑"/>
          <w:sz w:val="21"/>
          <w:szCs w:val="21"/>
        </w:rPr>
        <w:t>应建立规范的住房公积金内部管理制度</w:t>
      </w:r>
      <w:r>
        <w:rPr>
          <w:rFonts w:hint="eastAsia" w:ascii="微软雅黑" w:hAnsi="微软雅黑" w:eastAsia="微软雅黑" w:cs="微软雅黑"/>
          <w:color w:val="000000"/>
          <w:sz w:val="21"/>
          <w:szCs w:val="21"/>
        </w:rPr>
        <w:t>，设立业务经办角色，保证所办业务合规、真实、准确。如提供虚假数据或未按操作流程办理造成的不良后果或资产损失，由甲方自行承担。</w:t>
      </w:r>
    </w:p>
    <w:p>
      <w:pPr>
        <w:keepNext w:val="0"/>
        <w:keepLines w:val="0"/>
        <w:pageBreakBefore w:val="0"/>
        <w:widowControl w:val="0"/>
        <w:kinsoku/>
        <w:wordWrap/>
        <w:overflowPunct/>
        <w:topLinePunct w:val="0"/>
        <w:autoSpaceDE/>
        <w:autoSpaceDN/>
        <w:bidi w:val="0"/>
        <w:adjustRightInd/>
        <w:snapToGrid w:val="0"/>
        <w:spacing w:line="220" w:lineRule="exact"/>
        <w:ind w:firstLine="420" w:firstLineChars="200"/>
        <w:jc w:val="left"/>
        <w:textAlignment w:val="auto"/>
        <w:outlineLvl w:val="9"/>
        <w:rPr>
          <w:rFonts w:hint="eastAsia" w:ascii="微软雅黑" w:hAnsi="微软雅黑" w:eastAsia="微软雅黑" w:cs="微软雅黑"/>
          <w:color w:val="000000"/>
          <w:kern w:val="0"/>
          <w:sz w:val="21"/>
          <w:szCs w:val="21"/>
        </w:rPr>
      </w:pPr>
      <w:r>
        <w:rPr>
          <w:rFonts w:hint="eastAsia" w:ascii="微软雅黑" w:hAnsi="微软雅黑" w:eastAsia="微软雅黑" w:cs="微软雅黑"/>
          <w:sz w:val="21"/>
          <w:szCs w:val="21"/>
        </w:rPr>
        <w:t>（六）甲方应保存好办理业务的原始凭证，存档以备查证。</w:t>
      </w:r>
    </w:p>
    <w:p>
      <w:pPr>
        <w:keepNext w:val="0"/>
        <w:keepLines w:val="0"/>
        <w:pageBreakBefore w:val="0"/>
        <w:widowControl w:val="0"/>
        <w:kinsoku/>
        <w:wordWrap/>
        <w:overflowPunct/>
        <w:topLinePunct w:val="0"/>
        <w:autoSpaceDE/>
        <w:autoSpaceDN/>
        <w:bidi w:val="0"/>
        <w:adjustRightInd/>
        <w:snapToGrid w:val="0"/>
        <w:spacing w:line="220" w:lineRule="exact"/>
        <w:ind w:firstLine="420" w:firstLineChars="200"/>
        <w:jc w:val="left"/>
        <w:textAlignment w:val="auto"/>
        <w:outlineLvl w:val="9"/>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（七）甲方信息发生变更时，应及时通过网上业务大厅系统或到乙方办理变更手续。</w:t>
      </w:r>
    </w:p>
    <w:p>
      <w:pPr>
        <w:keepNext w:val="0"/>
        <w:keepLines w:val="0"/>
        <w:pageBreakBefore w:val="0"/>
        <w:widowControl w:val="0"/>
        <w:kinsoku/>
        <w:wordWrap/>
        <w:overflowPunct/>
        <w:topLinePunct w:val="0"/>
        <w:autoSpaceDE/>
        <w:autoSpaceDN/>
        <w:bidi w:val="0"/>
        <w:adjustRightInd/>
        <w:snapToGrid w:val="0"/>
        <w:spacing w:line="220" w:lineRule="exact"/>
        <w:ind w:firstLine="420" w:firstLineChars="200"/>
        <w:jc w:val="lef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t>（八）甲方使用网上业务大厅系统时，应直接从乙</w:t>
      </w:r>
      <w:r>
        <w:rPr>
          <w:rFonts w:hint="eastAsia" w:ascii="微软雅黑" w:hAnsi="微软雅黑" w:eastAsia="微软雅黑" w:cs="微软雅黑"/>
          <w:sz w:val="21"/>
          <w:szCs w:val="21"/>
        </w:rPr>
        <w:t>方网站（</w:t>
      </w:r>
      <w:r>
        <w:rPr>
          <w:rStyle w:val="12"/>
          <w:rFonts w:hint="eastAsia" w:ascii="微软雅黑" w:hAnsi="微软雅黑" w:eastAsia="微软雅黑" w:cs="微软雅黑"/>
        </w:rPr>
        <w:t>www.xngjjapp.com/netface/login.do</w:t>
      </w:r>
      <w:r>
        <w:rPr>
          <w:rFonts w:hint="eastAsia" w:ascii="微软雅黑" w:hAnsi="微软雅黑" w:eastAsia="微软雅黑" w:cs="微软雅黑"/>
          <w:color w:val="000000"/>
          <w:sz w:val="21"/>
          <w:szCs w:val="21"/>
        </w:rPr>
        <w:t>）处登录,通过邮件或其他网站提供的链接地址登录所产生的不利后果由甲方自行承担。</w:t>
      </w:r>
    </w:p>
    <w:p>
      <w:pPr>
        <w:keepNext w:val="0"/>
        <w:keepLines w:val="0"/>
        <w:pageBreakBefore w:val="0"/>
        <w:widowControl w:val="0"/>
        <w:kinsoku/>
        <w:wordWrap/>
        <w:overflowPunct/>
        <w:topLinePunct w:val="0"/>
        <w:autoSpaceDE/>
        <w:autoSpaceDN/>
        <w:bidi w:val="0"/>
        <w:adjustRightInd/>
        <w:snapToGrid w:val="0"/>
        <w:spacing w:line="220" w:lineRule="exact"/>
        <w:ind w:firstLine="420" w:firstLineChars="200"/>
        <w:jc w:val="lef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bCs/>
          <w:color w:val="000000"/>
          <w:sz w:val="21"/>
          <w:szCs w:val="21"/>
        </w:rPr>
        <w:t>（九）甲方仅限于在办理业务时使用乙方的网上业务大厅系统，不能擅自复制、修改、增加网上业务大厅系统的服务内容，或创造有关的派生产品。</w:t>
      </w:r>
    </w:p>
    <w:p>
      <w:pPr>
        <w:keepNext w:val="0"/>
        <w:keepLines w:val="0"/>
        <w:pageBreakBefore w:val="0"/>
        <w:widowControl w:val="0"/>
        <w:kinsoku/>
        <w:wordWrap/>
        <w:overflowPunct/>
        <w:topLinePunct w:val="0"/>
        <w:autoSpaceDE/>
        <w:autoSpaceDN/>
        <w:bidi w:val="0"/>
        <w:adjustRightInd/>
        <w:snapToGrid w:val="0"/>
        <w:spacing w:line="220" w:lineRule="exact"/>
        <w:ind w:firstLine="420" w:firstLineChars="200"/>
        <w:jc w:val="left"/>
        <w:textAlignment w:val="auto"/>
        <w:outlineLvl w:val="9"/>
        <w:rPr>
          <w:rFonts w:hint="eastAsia" w:ascii="微软雅黑" w:hAnsi="微软雅黑" w:eastAsia="微软雅黑" w:cs="微软雅黑"/>
          <w:color w:val="000000"/>
          <w:kern w:val="0"/>
          <w:sz w:val="21"/>
          <w:szCs w:val="21"/>
        </w:rPr>
      </w:pPr>
      <w:r>
        <w:rPr>
          <w:rFonts w:hint="eastAsia" w:ascii="微软雅黑" w:hAnsi="微软雅黑" w:eastAsia="微软雅黑" w:cs="微软雅黑"/>
          <w:b/>
          <w:color w:val="000000"/>
          <w:kern w:val="0"/>
          <w:sz w:val="21"/>
          <w:szCs w:val="21"/>
        </w:rPr>
        <w:t>第四条</w:t>
      </w:r>
      <w:r>
        <w:rPr>
          <w:rFonts w:hint="eastAsia" w:ascii="微软雅黑" w:hAnsi="微软雅黑" w:eastAsia="微软雅黑" w:cs="微软雅黑"/>
          <w:color w:val="000000"/>
          <w:kern w:val="0"/>
          <w:sz w:val="21"/>
          <w:szCs w:val="21"/>
        </w:rPr>
        <w:t xml:space="preserve">  乙方的权利和义务</w:t>
      </w:r>
    </w:p>
    <w:p>
      <w:pPr>
        <w:keepNext w:val="0"/>
        <w:keepLines w:val="0"/>
        <w:pageBreakBefore w:val="0"/>
        <w:widowControl w:val="0"/>
        <w:kinsoku/>
        <w:wordWrap/>
        <w:overflowPunct/>
        <w:topLinePunct w:val="0"/>
        <w:autoSpaceDE/>
        <w:autoSpaceDN/>
        <w:bidi w:val="0"/>
        <w:adjustRightInd/>
        <w:snapToGrid w:val="0"/>
        <w:spacing w:line="220" w:lineRule="exact"/>
        <w:ind w:firstLine="420" w:firstLineChars="200"/>
        <w:jc w:val="left"/>
        <w:textAlignment w:val="auto"/>
        <w:outlineLvl w:val="9"/>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（一）乙方有权对使用网上业务大厅系统的甲方进行身份认证。未通过身份认证的，乙方有权拒绝甲方使用网上业务大厅系统。</w:t>
      </w:r>
    </w:p>
    <w:p>
      <w:pPr>
        <w:keepNext w:val="0"/>
        <w:keepLines w:val="0"/>
        <w:pageBreakBefore w:val="0"/>
        <w:widowControl w:val="0"/>
        <w:kinsoku/>
        <w:wordWrap/>
        <w:overflowPunct/>
        <w:topLinePunct w:val="0"/>
        <w:autoSpaceDE/>
        <w:autoSpaceDN/>
        <w:bidi w:val="0"/>
        <w:adjustRightInd/>
        <w:snapToGrid w:val="0"/>
        <w:spacing w:line="220" w:lineRule="exact"/>
        <w:ind w:firstLine="420" w:firstLineChars="200"/>
        <w:jc w:val="left"/>
        <w:textAlignment w:val="auto"/>
        <w:outlineLvl w:val="9"/>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（二）乙方应根据甲方发送的交易</w:t>
      </w:r>
      <w:r>
        <w:rPr>
          <w:rFonts w:hint="eastAsia" w:ascii="微软雅黑" w:hAnsi="微软雅黑" w:eastAsia="微软雅黑" w:cs="微软雅黑"/>
          <w:sz w:val="21"/>
          <w:szCs w:val="21"/>
        </w:rPr>
        <w:t>指令进行处</w:t>
      </w:r>
      <w:r>
        <w:rPr>
          <w:rFonts w:hint="eastAsia" w:ascii="微软雅黑" w:hAnsi="微软雅黑" w:eastAsia="微软雅黑" w:cs="微软雅黑"/>
          <w:color w:val="000000"/>
          <w:sz w:val="21"/>
          <w:szCs w:val="21"/>
        </w:rPr>
        <w:t>理，并将处理结果实时反馈给甲方。</w:t>
      </w:r>
    </w:p>
    <w:p>
      <w:pPr>
        <w:keepNext w:val="0"/>
        <w:keepLines w:val="0"/>
        <w:pageBreakBefore w:val="0"/>
        <w:widowControl w:val="0"/>
        <w:kinsoku/>
        <w:wordWrap/>
        <w:overflowPunct/>
        <w:topLinePunct w:val="0"/>
        <w:autoSpaceDE/>
        <w:autoSpaceDN/>
        <w:bidi w:val="0"/>
        <w:adjustRightInd/>
        <w:snapToGrid w:val="0"/>
        <w:spacing w:line="220" w:lineRule="exact"/>
        <w:ind w:firstLine="420" w:firstLineChars="200"/>
        <w:jc w:val="lef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（三）乙方</w:t>
      </w:r>
      <w:r>
        <w:rPr>
          <w:rFonts w:hint="eastAsia" w:ascii="微软雅黑" w:hAnsi="微软雅黑" w:eastAsia="微软雅黑" w:cs="微软雅黑"/>
          <w:color w:val="000000"/>
          <w:sz w:val="21"/>
          <w:szCs w:val="21"/>
        </w:rPr>
        <w:t>有权</w:t>
      </w:r>
      <w:r>
        <w:rPr>
          <w:rFonts w:hint="eastAsia" w:ascii="微软雅黑" w:hAnsi="微软雅黑" w:eastAsia="微软雅黑" w:cs="微软雅黑"/>
          <w:sz w:val="21"/>
          <w:szCs w:val="21"/>
        </w:rPr>
        <w:t>定期或不定期对甲方网上所办业务的合法性、合规性进行稽查。</w:t>
      </w:r>
    </w:p>
    <w:p>
      <w:pPr>
        <w:keepNext w:val="0"/>
        <w:keepLines w:val="0"/>
        <w:pageBreakBefore w:val="0"/>
        <w:widowControl w:val="0"/>
        <w:kinsoku/>
        <w:wordWrap/>
        <w:overflowPunct/>
        <w:topLinePunct w:val="0"/>
        <w:autoSpaceDE/>
        <w:autoSpaceDN/>
        <w:bidi w:val="0"/>
        <w:adjustRightInd/>
        <w:snapToGrid w:val="0"/>
        <w:spacing w:line="220" w:lineRule="exact"/>
        <w:ind w:firstLine="420" w:firstLineChars="200"/>
        <w:jc w:val="left"/>
        <w:textAlignment w:val="auto"/>
        <w:outlineLvl w:val="9"/>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（四）乙方应向甲方提供必要的网上业务大厅系统操作培训或相关操作说明材料。</w:t>
      </w:r>
    </w:p>
    <w:p>
      <w:pPr>
        <w:keepNext w:val="0"/>
        <w:keepLines w:val="0"/>
        <w:pageBreakBefore w:val="0"/>
        <w:widowControl w:val="0"/>
        <w:kinsoku/>
        <w:wordWrap/>
        <w:overflowPunct/>
        <w:topLinePunct w:val="0"/>
        <w:autoSpaceDE/>
        <w:autoSpaceDN/>
        <w:bidi w:val="0"/>
        <w:adjustRightInd/>
        <w:snapToGrid w:val="0"/>
        <w:spacing w:line="220" w:lineRule="exact"/>
        <w:ind w:firstLine="420" w:firstLineChars="200"/>
        <w:jc w:val="left"/>
        <w:textAlignment w:val="auto"/>
        <w:outlineLvl w:val="9"/>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sz w:val="21"/>
          <w:szCs w:val="21"/>
        </w:rPr>
        <w:t>（五）乙方有权对网上业务大厅系统进行升级，对所提供的服务项目进行调整。对系统进行升级或对服务项目进行调整时，应</w:t>
      </w:r>
      <w:r>
        <w:rPr>
          <w:rFonts w:hint="eastAsia" w:ascii="微软雅黑" w:hAnsi="微软雅黑" w:eastAsia="微软雅黑" w:cs="微软雅黑"/>
          <w:color w:val="000000"/>
          <w:kern w:val="0"/>
          <w:sz w:val="21"/>
          <w:szCs w:val="21"/>
        </w:rPr>
        <w:t>事先进行通告。</w:t>
      </w:r>
    </w:p>
    <w:p>
      <w:pPr>
        <w:keepNext w:val="0"/>
        <w:keepLines w:val="0"/>
        <w:pageBreakBefore w:val="0"/>
        <w:widowControl w:val="0"/>
        <w:kinsoku/>
        <w:wordWrap/>
        <w:overflowPunct/>
        <w:topLinePunct w:val="0"/>
        <w:autoSpaceDE/>
        <w:autoSpaceDN/>
        <w:bidi w:val="0"/>
        <w:adjustRightInd/>
        <w:snapToGrid w:val="0"/>
        <w:spacing w:line="220" w:lineRule="exact"/>
        <w:ind w:firstLine="420" w:firstLineChars="200"/>
        <w:jc w:val="left"/>
        <w:textAlignment w:val="auto"/>
        <w:outlineLvl w:val="9"/>
        <w:rPr>
          <w:rFonts w:hint="eastAsia" w:ascii="微软雅黑" w:hAnsi="微软雅黑" w:eastAsia="微软雅黑" w:cs="微软雅黑"/>
          <w:color w:val="000000"/>
          <w:kern w:val="0"/>
          <w:sz w:val="21"/>
          <w:szCs w:val="21"/>
        </w:rPr>
      </w:pPr>
      <w:r>
        <w:rPr>
          <w:rFonts w:hint="eastAsia" w:ascii="微软雅黑" w:hAnsi="微软雅黑" w:eastAsia="微软雅黑" w:cs="微软雅黑"/>
          <w:b/>
          <w:color w:val="000000"/>
          <w:kern w:val="0"/>
          <w:sz w:val="21"/>
          <w:szCs w:val="21"/>
        </w:rPr>
        <w:t>第五条</w:t>
      </w:r>
      <w:r>
        <w:rPr>
          <w:rFonts w:hint="eastAsia" w:ascii="微软雅黑" w:hAnsi="微软雅黑" w:eastAsia="微软雅黑" w:cs="微软雅黑"/>
          <w:color w:val="000000"/>
          <w:kern w:val="0"/>
          <w:sz w:val="21"/>
          <w:szCs w:val="21"/>
        </w:rPr>
        <w:t xml:space="preserve">  </w:t>
      </w:r>
      <w:r>
        <w:rPr>
          <w:rFonts w:hint="eastAsia" w:ascii="微软雅黑" w:hAnsi="微软雅黑" w:eastAsia="微软雅黑" w:cs="微软雅黑"/>
          <w:color w:val="000000"/>
          <w:sz w:val="21"/>
          <w:szCs w:val="21"/>
        </w:rPr>
        <w:t>服务变更、中断或终止</w:t>
      </w:r>
    </w:p>
    <w:p>
      <w:pPr>
        <w:keepNext w:val="0"/>
        <w:keepLines w:val="0"/>
        <w:pageBreakBefore w:val="0"/>
        <w:widowControl w:val="0"/>
        <w:kinsoku/>
        <w:wordWrap/>
        <w:overflowPunct/>
        <w:topLinePunct w:val="0"/>
        <w:autoSpaceDE/>
        <w:autoSpaceDN/>
        <w:bidi w:val="0"/>
        <w:adjustRightInd/>
        <w:snapToGrid w:val="0"/>
        <w:spacing w:line="220" w:lineRule="exact"/>
        <w:ind w:firstLine="420" w:firstLineChars="200"/>
        <w:jc w:val="left"/>
        <w:textAlignment w:val="auto"/>
        <w:outlineLvl w:val="9"/>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（一）如因系统维护或升级的需要而需暂停网上服务，乙方将通过网站事先进行通告。</w:t>
      </w:r>
    </w:p>
    <w:p>
      <w:pPr>
        <w:keepNext w:val="0"/>
        <w:keepLines w:val="0"/>
        <w:pageBreakBefore w:val="0"/>
        <w:widowControl w:val="0"/>
        <w:kinsoku/>
        <w:wordWrap/>
        <w:overflowPunct/>
        <w:topLinePunct w:val="0"/>
        <w:autoSpaceDE/>
        <w:autoSpaceDN/>
        <w:bidi w:val="0"/>
        <w:adjustRightInd/>
        <w:snapToGrid w:val="0"/>
        <w:spacing w:line="220" w:lineRule="exact"/>
        <w:ind w:firstLine="420" w:firstLineChars="200"/>
        <w:jc w:val="left"/>
        <w:textAlignment w:val="auto"/>
        <w:outlineLvl w:val="9"/>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（二）如若甲方提供虚假、错误的资料、数据，或有违反网上业务大厅系统的使用规则和操作流程进行操作的行为，乙方有权随时中断或终止向甲方提供的网上服务而无需通知甲方，并保留追究其责任的权利。</w:t>
      </w:r>
    </w:p>
    <w:p>
      <w:pPr>
        <w:keepNext w:val="0"/>
        <w:keepLines w:val="0"/>
        <w:pageBreakBefore w:val="0"/>
        <w:widowControl w:val="0"/>
        <w:kinsoku/>
        <w:wordWrap/>
        <w:overflowPunct/>
        <w:topLinePunct w:val="0"/>
        <w:autoSpaceDE/>
        <w:autoSpaceDN/>
        <w:bidi w:val="0"/>
        <w:adjustRightInd/>
        <w:snapToGrid w:val="0"/>
        <w:spacing w:line="220" w:lineRule="exact"/>
        <w:ind w:firstLine="420" w:firstLineChars="200"/>
        <w:jc w:val="left"/>
        <w:textAlignment w:val="auto"/>
        <w:outlineLvl w:val="9"/>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（三）甲方可自愿申请解除网上服务。</w:t>
      </w:r>
      <w:r>
        <w:rPr>
          <w:rFonts w:hint="eastAsia" w:ascii="微软雅黑" w:hAnsi="微软雅黑" w:eastAsia="微软雅黑" w:cs="微软雅黑"/>
          <w:bCs/>
          <w:color w:val="000000"/>
          <w:sz w:val="21"/>
          <w:szCs w:val="21"/>
        </w:rPr>
        <w:t>甲方自愿解除网上服务时，需甲方经办人携带身份证、</w:t>
      </w:r>
      <w:r>
        <w:rPr>
          <w:rFonts w:hint="eastAsia" w:ascii="微软雅黑" w:hAnsi="微软雅黑" w:eastAsia="微软雅黑" w:cs="微软雅黑"/>
          <w:color w:val="000000"/>
          <w:sz w:val="21"/>
          <w:szCs w:val="21"/>
        </w:rPr>
        <w:t>加盖印鉴的</w:t>
      </w:r>
      <w:r>
        <w:rPr>
          <w:rFonts w:hint="eastAsia" w:ascii="微软雅黑" w:hAnsi="微软雅黑" w:eastAsia="微软雅黑" w:cs="微软雅黑"/>
          <w:bCs/>
          <w:color w:val="000000"/>
          <w:sz w:val="21"/>
          <w:szCs w:val="21"/>
        </w:rPr>
        <w:t>《咸宁市住房公积金网上业务受理单》到乙方办理。</w:t>
      </w:r>
    </w:p>
    <w:p>
      <w:pPr>
        <w:keepNext w:val="0"/>
        <w:keepLines w:val="0"/>
        <w:pageBreakBefore w:val="0"/>
        <w:widowControl w:val="0"/>
        <w:kinsoku/>
        <w:wordWrap/>
        <w:overflowPunct/>
        <w:topLinePunct w:val="0"/>
        <w:autoSpaceDE/>
        <w:autoSpaceDN/>
        <w:bidi w:val="0"/>
        <w:adjustRightInd/>
        <w:snapToGrid w:val="0"/>
        <w:spacing w:line="220" w:lineRule="exact"/>
        <w:ind w:firstLine="420" w:firstLineChars="200"/>
        <w:jc w:val="left"/>
        <w:textAlignment w:val="auto"/>
        <w:outlineLvl w:val="9"/>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sz w:val="21"/>
          <w:szCs w:val="21"/>
        </w:rPr>
        <w:t xml:space="preserve">（四）除上所述情形外，鉴于网络服务的特殊性，乙方保留在自然及其他不可抗力因素作用下变更、中断或终止部分或全部网上服务的权利。对于所有服务中断或终止而造成的损失，乙方无需对甲方或第三方承担任何责任。  </w:t>
      </w:r>
    </w:p>
    <w:p>
      <w:pPr>
        <w:keepNext w:val="0"/>
        <w:keepLines w:val="0"/>
        <w:pageBreakBefore w:val="0"/>
        <w:widowControl w:val="0"/>
        <w:kinsoku/>
        <w:wordWrap/>
        <w:overflowPunct/>
        <w:topLinePunct w:val="0"/>
        <w:autoSpaceDE/>
        <w:autoSpaceDN/>
        <w:bidi w:val="0"/>
        <w:adjustRightInd/>
        <w:snapToGrid w:val="0"/>
        <w:spacing w:line="220" w:lineRule="exact"/>
        <w:ind w:firstLine="420" w:firstLineChars="200"/>
        <w:jc w:val="left"/>
        <w:textAlignment w:val="auto"/>
        <w:outlineLvl w:val="9"/>
        <w:rPr>
          <w:rFonts w:hint="eastAsia" w:ascii="微软雅黑" w:hAnsi="微软雅黑" w:eastAsia="微软雅黑" w:cs="微软雅黑"/>
          <w:color w:val="000000"/>
          <w:sz w:val="21"/>
          <w:szCs w:val="21"/>
        </w:rPr>
      </w:pPr>
      <w:r>
        <w:rPr>
          <w:rFonts w:hint="eastAsia" w:ascii="微软雅黑" w:hAnsi="微软雅黑" w:eastAsia="微软雅黑" w:cs="微软雅黑"/>
          <w:b/>
          <w:color w:val="000000"/>
          <w:sz w:val="21"/>
          <w:szCs w:val="21"/>
        </w:rPr>
        <w:t xml:space="preserve">第六条 </w:t>
      </w:r>
      <w:r>
        <w:rPr>
          <w:rFonts w:hint="eastAsia" w:ascii="微软雅黑" w:hAnsi="微软雅黑" w:eastAsia="微软雅黑" w:cs="微软雅黑"/>
          <w:color w:val="000000"/>
          <w:sz w:val="21"/>
          <w:szCs w:val="21"/>
        </w:rPr>
        <w:t xml:space="preserve"> 适用法律及争议解决</w:t>
      </w:r>
    </w:p>
    <w:p>
      <w:pPr>
        <w:keepNext w:val="0"/>
        <w:keepLines w:val="0"/>
        <w:pageBreakBefore w:val="0"/>
        <w:widowControl w:val="0"/>
        <w:kinsoku/>
        <w:wordWrap/>
        <w:overflowPunct/>
        <w:topLinePunct w:val="0"/>
        <w:autoSpaceDE/>
        <w:autoSpaceDN/>
        <w:bidi w:val="0"/>
        <w:adjustRightInd/>
        <w:snapToGrid w:val="0"/>
        <w:spacing w:line="220" w:lineRule="exact"/>
        <w:ind w:firstLine="420" w:firstLineChars="200"/>
        <w:jc w:val="left"/>
        <w:textAlignment w:val="auto"/>
        <w:outlineLvl w:val="9"/>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（一）本协议的订立、执行和解释及争议的解决均应适用中国法律；</w:t>
      </w:r>
    </w:p>
    <w:p>
      <w:pPr>
        <w:keepNext w:val="0"/>
        <w:keepLines w:val="0"/>
        <w:pageBreakBefore w:val="0"/>
        <w:widowControl w:val="0"/>
        <w:kinsoku/>
        <w:wordWrap/>
        <w:overflowPunct/>
        <w:topLinePunct w:val="0"/>
        <w:autoSpaceDE/>
        <w:autoSpaceDN/>
        <w:bidi w:val="0"/>
        <w:adjustRightInd/>
        <w:snapToGrid w:val="0"/>
        <w:spacing w:line="220" w:lineRule="exact"/>
        <w:ind w:firstLine="420" w:firstLineChars="200"/>
        <w:jc w:val="left"/>
        <w:textAlignment w:val="auto"/>
        <w:outlineLvl w:val="9"/>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（二）本协议所涉及的业务均适用于《住房公积金管理条例》等相关法规及咸宁市住房公积金管理中心制定的相关规定，如本协议有特殊规定的按约定执行；</w:t>
      </w:r>
    </w:p>
    <w:p>
      <w:pPr>
        <w:keepNext w:val="0"/>
        <w:keepLines w:val="0"/>
        <w:pageBreakBefore w:val="0"/>
        <w:widowControl w:val="0"/>
        <w:kinsoku/>
        <w:wordWrap/>
        <w:overflowPunct/>
        <w:topLinePunct w:val="0"/>
        <w:autoSpaceDE/>
        <w:autoSpaceDN/>
        <w:bidi w:val="0"/>
        <w:adjustRightInd/>
        <w:snapToGrid w:val="0"/>
        <w:spacing w:line="220" w:lineRule="exact"/>
        <w:ind w:firstLine="420" w:firstLineChars="200"/>
        <w:jc w:val="left"/>
        <w:textAlignment w:val="auto"/>
        <w:outlineLvl w:val="9"/>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三）如双方对本协议内容或其执行发生任何争议，双方应友好协商解决；协商不成时，提交咸宁仲裁委员会按照咸宁仲裁委员会现行有效的仲裁规则进行仲裁，仲裁裁决是终局的，对各方均有约束力。在仲裁期间，本协议不涉及争议部分的条款仍须履行。</w:t>
      </w:r>
    </w:p>
    <w:p>
      <w:pPr>
        <w:keepNext w:val="0"/>
        <w:keepLines w:val="0"/>
        <w:pageBreakBefore w:val="0"/>
        <w:widowControl w:val="0"/>
        <w:kinsoku/>
        <w:wordWrap/>
        <w:overflowPunct/>
        <w:topLinePunct w:val="0"/>
        <w:autoSpaceDE/>
        <w:autoSpaceDN/>
        <w:bidi w:val="0"/>
        <w:adjustRightInd/>
        <w:snapToGrid w:val="0"/>
        <w:spacing w:line="220" w:lineRule="exact"/>
        <w:ind w:firstLine="420" w:firstLineChars="200"/>
        <w:jc w:val="left"/>
        <w:textAlignment w:val="auto"/>
        <w:outlineLvl w:val="9"/>
        <w:rPr>
          <w:rFonts w:hint="eastAsia" w:ascii="微软雅黑" w:hAnsi="微软雅黑" w:eastAsia="微软雅黑" w:cs="微软雅黑"/>
          <w:color w:val="000000"/>
          <w:kern w:val="0"/>
          <w:sz w:val="21"/>
          <w:szCs w:val="21"/>
        </w:rPr>
      </w:pPr>
      <w:r>
        <w:rPr>
          <w:rFonts w:hint="eastAsia" w:ascii="微软雅黑" w:hAnsi="微软雅黑" w:eastAsia="微软雅黑" w:cs="微软雅黑"/>
          <w:b/>
          <w:color w:val="000000"/>
          <w:kern w:val="0"/>
          <w:sz w:val="21"/>
          <w:szCs w:val="21"/>
        </w:rPr>
        <w:t>第七条</w:t>
      </w:r>
      <w:r>
        <w:rPr>
          <w:rFonts w:hint="eastAsia" w:ascii="微软雅黑" w:hAnsi="微软雅黑" w:eastAsia="微软雅黑" w:cs="微软雅黑"/>
          <w:color w:val="000000"/>
          <w:kern w:val="0"/>
          <w:sz w:val="21"/>
          <w:szCs w:val="21"/>
        </w:rPr>
        <w:t xml:space="preserve">  本协议自双方签订之日起生效。</w:t>
      </w:r>
    </w:p>
    <w:p>
      <w:pPr>
        <w:snapToGrid w:val="0"/>
        <w:spacing w:line="220" w:lineRule="exact"/>
        <w:ind w:firstLine="420" w:firstLineChars="200"/>
        <w:jc w:val="left"/>
        <w:rPr>
          <w:rFonts w:hint="eastAsia" w:ascii="微软雅黑" w:hAnsi="微软雅黑" w:eastAsia="微软雅黑" w:cs="微软雅黑"/>
          <w:color w:val="000000"/>
          <w:kern w:val="0"/>
          <w:sz w:val="21"/>
          <w:szCs w:val="21"/>
        </w:rPr>
      </w:pPr>
    </w:p>
    <w:p>
      <w:pPr>
        <w:snapToGrid w:val="0"/>
        <w:spacing w:line="460" w:lineRule="exact"/>
        <w:ind w:firstLine="420" w:firstLineChars="200"/>
        <w:jc w:val="left"/>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甲方（公章）：                                      乙方（公章）：</w:t>
      </w:r>
    </w:p>
    <w:p>
      <w:pPr>
        <w:snapToGrid w:val="0"/>
        <w:spacing w:line="460" w:lineRule="exact"/>
        <w:ind w:firstLine="420" w:firstLineChars="200"/>
        <w:jc w:val="left"/>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单位经办人（签字）：                                经办柜员（签字）：</w:t>
      </w:r>
    </w:p>
    <w:p>
      <w:pPr>
        <w:snapToGrid w:val="0"/>
        <w:spacing w:line="460" w:lineRule="exact"/>
        <w:ind w:firstLine="420" w:firstLineChars="200"/>
        <w:jc w:val="left"/>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日期：     年   月   日                             日期：     年   月   日</w:t>
      </w:r>
    </w:p>
    <w:p>
      <w:pPr>
        <w:widowControl/>
        <w:jc w:val="left"/>
        <w:rPr>
          <w:rFonts w:ascii="宋体" w:hAnsi="宋体" w:cs="宋体"/>
          <w:color w:val="000000"/>
          <w:kern w:val="0"/>
          <w:sz w:val="20"/>
          <w:szCs w:val="28"/>
        </w:rPr>
      </w:pPr>
      <w:r>
        <w:rPr>
          <w:rFonts w:ascii="宋体" w:hAnsi="宋体" w:cs="宋体"/>
          <w:color w:val="000000"/>
          <w:kern w:val="0"/>
          <w:sz w:val="20"/>
          <w:szCs w:val="28"/>
        </w:rPr>
        <w:br w:type="page"/>
      </w:r>
    </w:p>
    <w:p>
      <w:pPr>
        <w:jc w:val="center"/>
        <w:rPr>
          <w:rFonts w:ascii="黑体" w:hAnsi="黑体" w:eastAsia="黑体"/>
          <w:sz w:val="180"/>
        </w:rPr>
      </w:pPr>
      <w:r>
        <w:rPr>
          <w:rFonts w:hint="eastAsia" w:ascii="黑体" w:hAnsi="黑体" w:eastAsia="黑体"/>
          <w:sz w:val="48"/>
        </w:rPr>
        <w:t>咸宁市住房公积金机构证书业务受理表</w:t>
      </w:r>
    </w:p>
    <w:tbl>
      <w:tblPr>
        <w:tblStyle w:val="9"/>
        <w:tblW w:w="96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696" w:type="dxa"/>
            <w:tcBorders>
              <w:top w:val="single" w:color="auto" w:sz="12" w:space="0"/>
              <w:bottom w:val="single" w:color="auto" w:sz="4" w:space="0"/>
            </w:tcBorders>
            <w:shd w:val="clear" w:color="auto" w:fill="D9D9D9"/>
            <w:vAlign w:val="center"/>
          </w:tcPr>
          <w:p>
            <w:pPr>
              <w:spacing w:line="320" w:lineRule="exact"/>
              <w:rPr>
                <w:rFonts w:eastAsia="楷体_GB2312"/>
                <w:sz w:val="18"/>
                <w:szCs w:val="18"/>
              </w:rPr>
            </w:pPr>
            <w:bookmarkStart w:id="0" w:name="_Toc238402716"/>
            <w:r>
              <w:rPr>
                <w:rFonts w:hint="eastAsia" w:ascii="楷体_GB2312" w:hAnsi="宋体" w:eastAsia="楷体_GB2312"/>
                <w:b/>
                <w:szCs w:val="21"/>
              </w:rPr>
              <w:t>客户信息栏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9" w:hRule="atLeast"/>
          <w:jc w:val="center"/>
        </w:trPr>
        <w:tc>
          <w:tcPr>
            <w:tcW w:w="9696" w:type="dxa"/>
            <w:tcBorders>
              <w:top w:val="single" w:color="auto" w:sz="4" w:space="0"/>
              <w:bottom w:val="single" w:color="auto" w:sz="4" w:space="0"/>
            </w:tcBorders>
          </w:tcPr>
          <w:p>
            <w:pPr>
              <w:spacing w:before="156" w:beforeLines="50" w:line="420" w:lineRule="auto"/>
              <w:rPr>
                <w:rFonts w:ascii="楷体_GB2312" w:hAnsi="宋体" w:eastAsia="楷体_GB2312"/>
                <w:spacing w:val="-34"/>
                <w:sz w:val="36"/>
                <w:szCs w:val="36"/>
              </w:rPr>
            </w:pPr>
            <w:r>
              <w:rPr>
                <w:rFonts w:hint="eastAsia" w:ascii="楷体_GB2312" w:eastAsia="楷体_GB2312"/>
                <w:szCs w:val="21"/>
              </w:rPr>
              <w:t>单位名称：</w:t>
            </w:r>
            <w:r>
              <w:rPr>
                <w:rFonts w:hint="eastAsia" w:ascii="楷体_GB2312" w:hAnsi="宋体" w:eastAsia="楷体_GB2312"/>
                <w:szCs w:val="21"/>
              </w:rPr>
              <w:t>____________________________________________________</w:t>
            </w:r>
            <w:r>
              <w:rPr>
                <w:rFonts w:hint="eastAsia" w:ascii="楷体_GB2312" w:hAnsi="宋体" w:eastAsia="楷体_GB2312"/>
                <w:spacing w:val="-34"/>
                <w:sz w:val="36"/>
                <w:szCs w:val="36"/>
              </w:rPr>
              <w:t xml:space="preserve">  </w:t>
            </w:r>
          </w:p>
          <w:p>
            <w:pPr>
              <w:spacing w:line="420" w:lineRule="auto"/>
              <w:rPr>
                <w:rFonts w:ascii="楷体_GB2312" w:hAnsi="宋体" w:eastAsia="楷体_GB2312"/>
                <w:szCs w:val="21"/>
              </w:rPr>
            </w:pPr>
            <w:r>
              <w:rPr>
                <w:rFonts w:hint="eastAsia" w:ascii="楷体_GB2312" w:hAnsi="宋体" w:eastAsia="楷体_GB2312"/>
                <w:szCs w:val="21"/>
              </w:rPr>
              <w:t>公积金单位账号</w:t>
            </w:r>
            <w:r>
              <w:rPr>
                <w:rFonts w:hint="eastAsia" w:ascii="楷体_GB2312" w:eastAsia="楷体_GB2312"/>
                <w:szCs w:val="21"/>
              </w:rPr>
              <w:t>：</w:t>
            </w:r>
            <w:r>
              <w:rPr>
                <w:rFonts w:hint="eastAsia" w:ascii="楷体_GB2312" w:hAnsi="宋体" w:eastAsia="楷体_GB2312"/>
                <w:szCs w:val="21"/>
              </w:rPr>
              <w:t>______________________________________________</w:t>
            </w:r>
          </w:p>
          <w:p>
            <w:pPr>
              <w:spacing w:line="420" w:lineRule="auto"/>
              <w:rPr>
                <w:rFonts w:ascii="楷体_GB2312" w:hAnsi="宋体" w:eastAsia="楷体_GB2312"/>
                <w:szCs w:val="21"/>
              </w:rPr>
            </w:pPr>
            <w:r>
              <w:rPr>
                <w:rFonts w:hint="eastAsia" w:ascii="楷体_GB2312" w:eastAsia="楷体_GB2312"/>
                <w:szCs w:val="21"/>
              </w:rPr>
              <w:t>单位统一社会信用代码/组织机构代代码证：</w:t>
            </w:r>
            <w:r>
              <w:rPr>
                <w:rFonts w:hint="eastAsia" w:ascii="楷体_GB2312" w:hAnsi="宋体" w:eastAsia="楷体_GB2312"/>
                <w:szCs w:val="21"/>
              </w:rPr>
              <w:t>__________________________________________________</w:t>
            </w:r>
          </w:p>
          <w:p>
            <w:pPr>
              <w:spacing w:line="420" w:lineRule="auto"/>
              <w:rPr>
                <w:rFonts w:ascii="楷体_GB2312" w:hAnsi="宋体" w:eastAsia="楷体_GB2312"/>
                <w:szCs w:val="21"/>
              </w:rPr>
            </w:pPr>
            <w:r>
              <w:rPr>
                <w:rFonts w:hint="eastAsia" w:ascii="楷体_GB2312" w:hAnsi="宋体" w:eastAsia="楷体_GB2312"/>
                <w:spacing w:val="-34"/>
                <w:szCs w:val="21"/>
              </w:rPr>
              <w:t xml:space="preserve">单  位  地  址：   </w:t>
            </w:r>
            <w:r>
              <w:rPr>
                <w:rFonts w:hint="eastAsia" w:ascii="楷体_GB2312" w:hAnsi="宋体" w:eastAsia="楷体_GB2312"/>
                <w:szCs w:val="21"/>
              </w:rPr>
              <w:t>____________________________________________________</w:t>
            </w:r>
          </w:p>
          <w:p>
            <w:pPr>
              <w:spacing w:line="420" w:lineRule="auto"/>
              <w:rPr>
                <w:rFonts w:ascii="楷体_GB2312" w:hAnsi="宋体" w:eastAsia="楷体_GB2312"/>
                <w:szCs w:val="21"/>
              </w:rPr>
            </w:pPr>
            <w:r>
              <w:rPr>
                <w:rFonts w:hint="eastAsia" w:ascii="楷体_GB2312" w:hAnsi="宋体" w:eastAsia="楷体_GB2312"/>
                <w:szCs w:val="21"/>
              </w:rPr>
              <w:t xml:space="preserve">单位电话：_______________________         </w:t>
            </w:r>
          </w:p>
          <w:p>
            <w:pPr>
              <w:spacing w:line="420" w:lineRule="auto"/>
              <w:rPr>
                <w:rFonts w:ascii="楷体_GB2312" w:eastAsia="楷体_GB2312"/>
                <w:szCs w:val="21"/>
              </w:rPr>
            </w:pPr>
            <w:r>
              <w:rPr>
                <w:rFonts w:hint="eastAsia" w:ascii="楷体_GB2312" w:eastAsia="楷体_GB2312"/>
                <w:szCs w:val="21"/>
              </w:rPr>
              <w:t>单位法人姓名：</w:t>
            </w:r>
            <w:r>
              <w:rPr>
                <w:rFonts w:hint="eastAsia" w:ascii="楷体_GB2312" w:hAnsi="宋体" w:eastAsia="楷体_GB2312"/>
                <w:szCs w:val="21"/>
              </w:rPr>
              <w:t>_______________________</w:t>
            </w:r>
            <w:r>
              <w:rPr>
                <w:rFonts w:hint="eastAsia" w:ascii="楷体_GB2312" w:eastAsia="楷体_GB2312"/>
                <w:szCs w:val="21"/>
              </w:rPr>
              <w:t xml:space="preserve">     法人手机号：</w:t>
            </w:r>
            <w:r>
              <w:rPr>
                <w:rFonts w:hint="eastAsia" w:ascii="楷体_GB2312" w:hAnsi="宋体" w:eastAsia="楷体_GB2312"/>
                <w:szCs w:val="21"/>
              </w:rPr>
              <w:t>_______________________</w:t>
            </w:r>
          </w:p>
          <w:p>
            <w:pPr>
              <w:spacing w:line="420" w:lineRule="auto"/>
              <w:rPr>
                <w:rFonts w:ascii="楷体_GB2312" w:eastAsia="楷体_GB2312"/>
                <w:szCs w:val="21"/>
              </w:rPr>
            </w:pPr>
            <w:r>
              <w:rPr>
                <w:rFonts w:hint="eastAsia" w:ascii="楷体_GB2312" w:eastAsia="楷体_GB2312"/>
                <w:szCs w:val="21"/>
              </w:rPr>
              <w:t>法人身份证号：</w:t>
            </w:r>
            <w:r>
              <w:rPr>
                <w:rFonts w:hint="eastAsia" w:ascii="楷体_GB2312" w:hAnsi="宋体" w:eastAsia="楷体_GB2312"/>
                <w:szCs w:val="21"/>
              </w:rPr>
              <w:t>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696" w:type="dxa"/>
            <w:tcBorders>
              <w:top w:val="single" w:color="auto" w:sz="4" w:space="0"/>
              <w:bottom w:val="single" w:color="auto" w:sz="4" w:space="0"/>
            </w:tcBorders>
            <w:shd w:val="clear" w:color="auto" w:fill="D9D9D9"/>
            <w:vAlign w:val="center"/>
          </w:tcPr>
          <w:p>
            <w:pPr>
              <w:spacing w:line="320" w:lineRule="exact"/>
              <w:rPr>
                <w:rFonts w:ascii="楷体_GB2312" w:hAnsi="宋体" w:eastAsia="楷体_GB2312"/>
                <w:b/>
                <w:szCs w:val="21"/>
              </w:rPr>
            </w:pPr>
            <w:r>
              <w:rPr>
                <w:rFonts w:hint="eastAsia" w:ascii="楷体_GB2312" w:eastAsia="楷体_GB2312"/>
                <w:b/>
              </w:rPr>
              <w:t>经办人基本信息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9696" w:type="dxa"/>
            <w:tcBorders>
              <w:top w:val="single" w:color="auto" w:sz="4" w:space="0"/>
              <w:bottom w:val="single" w:color="auto" w:sz="4" w:space="0"/>
            </w:tcBorders>
          </w:tcPr>
          <w:p>
            <w:pPr>
              <w:spacing w:before="156" w:beforeLines="50"/>
              <w:rPr>
                <w:rFonts w:ascii="楷体_GB2312" w:eastAsia="楷体_GB2312"/>
              </w:rPr>
            </w:pPr>
            <w:r>
              <w:rPr>
                <w:rFonts w:hint="eastAsia" w:ascii="楷体_GB2312" w:eastAsia="楷体_GB2312"/>
              </w:rPr>
              <w:t>经办人姓名：</w:t>
            </w:r>
            <w:r>
              <w:rPr>
                <w:rFonts w:ascii="楷体_GB2312" w:eastAsia="楷体_GB2312"/>
              </w:rPr>
              <w:t xml:space="preserve">_____________________ </w:t>
            </w:r>
            <w:r>
              <w:rPr>
                <w:rFonts w:hint="eastAsia" w:ascii="楷体_GB2312" w:eastAsia="楷体_GB2312"/>
              </w:rPr>
              <w:t xml:space="preserve"> </w:t>
            </w:r>
            <w:r>
              <w:rPr>
                <w:rFonts w:ascii="楷体_GB2312" w:eastAsia="楷体_GB2312"/>
              </w:rPr>
              <w:t xml:space="preserve">      </w:t>
            </w:r>
            <w:r>
              <w:rPr>
                <w:rFonts w:hint="eastAsia" w:ascii="楷体_GB2312" w:eastAsia="楷体_GB2312"/>
              </w:rPr>
              <w:t>经办人手机号：</w:t>
            </w:r>
            <w:r>
              <w:rPr>
                <w:rFonts w:ascii="楷体_GB2312" w:eastAsia="楷体_GB2312"/>
              </w:rPr>
              <w:t>_____________________</w:t>
            </w:r>
          </w:p>
          <w:p>
            <w:pPr>
              <w:spacing w:before="156" w:beforeLines="50"/>
              <w:ind w:left="10" w:leftChars="5"/>
              <w:rPr>
                <w:rFonts w:ascii="楷体_GB2312" w:hAnsi="宋体" w:eastAsia="楷体_GB2312"/>
                <w:szCs w:val="21"/>
              </w:rPr>
            </w:pPr>
            <w:r>
              <w:rPr>
                <w:rFonts w:hint="eastAsia" w:ascii="楷体_GB2312" w:eastAsia="楷体_GB2312"/>
              </w:rPr>
              <w:t>经办人身份证号：</w:t>
            </w:r>
            <w:r>
              <w:rPr>
                <w:rFonts w:hint="eastAsia" w:ascii="楷体_GB2312" w:hAnsi="宋体" w:eastAsia="楷体_GB2312"/>
                <w:szCs w:val="21"/>
              </w:rPr>
              <w:t>___________________________________________________</w:t>
            </w:r>
            <w:r>
              <w:rPr>
                <w:rFonts w:hint="eastAsia" w:ascii="楷体_GB2312" w:eastAsia="楷体_GB2312"/>
              </w:rPr>
              <w:t xml:space="preserve"> </w:t>
            </w:r>
            <w:r>
              <w:rPr>
                <w:rFonts w:ascii="楷体_GB2312" w:eastAsia="楷体_GB231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696" w:type="dxa"/>
            <w:tcBorders>
              <w:top w:val="single" w:color="auto" w:sz="4" w:space="0"/>
              <w:bottom w:val="single" w:color="auto" w:sz="4" w:space="0"/>
            </w:tcBorders>
            <w:shd w:val="clear" w:color="auto" w:fill="D9D9D9"/>
            <w:vAlign w:val="center"/>
          </w:tcPr>
          <w:p>
            <w:pPr>
              <w:spacing w:line="320" w:lineRule="exact"/>
              <w:rPr>
                <w:rFonts w:ascii="楷体_GB2312" w:hAnsi="宋体" w:eastAsia="楷体_GB2312"/>
                <w:b/>
                <w:szCs w:val="21"/>
              </w:rPr>
            </w:pPr>
            <w:r>
              <w:rPr>
                <w:rFonts w:hint="eastAsia" w:ascii="楷体_GB2312" w:hAnsi="宋体" w:eastAsia="楷体_GB2312"/>
                <w:b/>
                <w:szCs w:val="21"/>
              </w:rPr>
              <w:t>申请业务类型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696" w:type="dxa"/>
            <w:tcBorders>
              <w:top w:val="single" w:color="auto" w:sz="4" w:space="0"/>
              <w:bottom w:val="single" w:color="auto" w:sz="4" w:space="0"/>
            </w:tcBorders>
          </w:tcPr>
          <w:p>
            <w:pPr>
              <w:rPr>
                <w:rFonts w:ascii="楷体_GB2312" w:hAnsi="华文楷体" w:eastAsia="楷体_GB2312"/>
                <w:szCs w:val="21"/>
              </w:rPr>
            </w:pPr>
            <w:r>
              <w:rPr>
                <w:rFonts w:hint="eastAsia" w:ascii="楷体_GB2312" w:hAnsi="华文楷体" w:eastAsia="楷体_GB2312"/>
                <w:szCs w:val="21"/>
              </w:rPr>
              <w:t xml:space="preserve">□ 证书申请         □ 证书变更         □ 证书补发         □ 证书挂起 </w:t>
            </w:r>
          </w:p>
          <w:p>
            <w:pPr>
              <w:rPr>
                <w:rFonts w:ascii="楷体_GB2312" w:hAnsi="华文楷体" w:eastAsia="楷体_GB2312"/>
                <w:szCs w:val="21"/>
              </w:rPr>
            </w:pPr>
            <w:r>
              <w:rPr>
                <w:rFonts w:hint="eastAsia" w:ascii="楷体_GB2312" w:hAnsi="华文楷体" w:eastAsia="楷体_GB2312"/>
                <w:szCs w:val="21"/>
              </w:rPr>
              <w:t>□ 证书恢复         □ 证书注销         □ 证书延期         □ USBKey</w:t>
            </w:r>
            <w:r>
              <w:rPr>
                <w:rFonts w:hint="eastAsia" w:eastAsia="楷体_GB2312"/>
                <w:szCs w:val="21"/>
              </w:rPr>
              <w:t>解锁</w:t>
            </w:r>
            <w:r>
              <w:rPr>
                <w:rFonts w:hint="eastAsia" w:ascii="楷体_GB2312" w:hAnsi="华文楷体" w:eastAsia="楷体_GB2312"/>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9696" w:type="dxa"/>
            <w:tcBorders>
              <w:top w:val="single" w:color="auto" w:sz="4" w:space="0"/>
              <w:bottom w:val="single" w:color="auto" w:sz="4" w:space="0"/>
            </w:tcBorders>
            <w:shd w:val="clear" w:color="auto" w:fill="D9D9D9"/>
            <w:vAlign w:val="center"/>
          </w:tcPr>
          <w:p>
            <w:pPr>
              <w:spacing w:line="320" w:lineRule="exact"/>
              <w:rPr>
                <w:rFonts w:ascii="楷体_GB2312" w:hAnsi="宋体" w:eastAsia="楷体_GB2312"/>
                <w:b/>
                <w:szCs w:val="21"/>
              </w:rPr>
            </w:pPr>
            <w:r>
              <w:rPr>
                <w:rFonts w:hint="eastAsia" w:ascii="楷体_GB2312" w:hAnsi="宋体" w:eastAsia="楷体_GB2312"/>
                <w:b/>
                <w:szCs w:val="21"/>
              </w:rPr>
              <w:t>客户须知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3" w:hRule="atLeast"/>
          <w:jc w:val="center"/>
        </w:trPr>
        <w:tc>
          <w:tcPr>
            <w:tcW w:w="9696" w:type="dxa"/>
            <w:tcBorders>
              <w:top w:val="single" w:color="auto" w:sz="4" w:space="0"/>
              <w:bottom w:val="single" w:color="auto" w:sz="4" w:space="0"/>
            </w:tcBorders>
          </w:tcPr>
          <w:p>
            <w:pPr>
              <w:pStyle w:val="19"/>
              <w:numPr>
                <w:ilvl w:val="0"/>
                <w:numId w:val="3"/>
              </w:numPr>
              <w:tabs>
                <w:tab w:val="left" w:pos="207"/>
                <w:tab w:val="clear" w:pos="420"/>
              </w:tabs>
              <w:rPr>
                <w:rFonts w:ascii="宋体" w:hAnsi="宋体"/>
                <w:sz w:val="20"/>
                <w:szCs w:val="18"/>
              </w:rPr>
            </w:pPr>
            <w:r>
              <w:rPr>
                <w:rFonts w:ascii="宋体" w:hAnsi="宋体"/>
                <w:sz w:val="20"/>
                <w:szCs w:val="18"/>
              </w:rPr>
              <w:t>1、“</w:t>
            </w:r>
            <w:r>
              <w:rPr>
                <w:rFonts w:hint="eastAsia" w:ascii="宋体" w:hAnsi="宋体"/>
                <w:sz w:val="20"/>
                <w:szCs w:val="18"/>
              </w:rPr>
              <w:t>客户信息栏</w:t>
            </w:r>
            <w:r>
              <w:rPr>
                <w:rFonts w:ascii="宋体" w:hAnsi="宋体"/>
                <w:sz w:val="20"/>
                <w:szCs w:val="18"/>
              </w:rPr>
              <w:t>”</w:t>
            </w:r>
            <w:r>
              <w:rPr>
                <w:rFonts w:hint="eastAsia" w:ascii="宋体" w:hAnsi="宋体"/>
                <w:sz w:val="20"/>
                <w:szCs w:val="18"/>
              </w:rPr>
              <w:t>中须填写证书持有者的详细信息；办理咸宁市住房公积金机构数字证书时，需提交单位组织机构代码证/统一社会信用代码副本复印件及经办人身份证复印件，所有复印件需加盖单位公章；</w:t>
            </w:r>
          </w:p>
          <w:p>
            <w:pPr>
              <w:pStyle w:val="19"/>
              <w:numPr>
                <w:ilvl w:val="0"/>
                <w:numId w:val="3"/>
              </w:numPr>
              <w:tabs>
                <w:tab w:val="left" w:pos="207"/>
                <w:tab w:val="clear" w:pos="420"/>
              </w:tabs>
              <w:rPr>
                <w:rFonts w:ascii="宋体" w:hAnsi="宋体"/>
                <w:sz w:val="20"/>
                <w:szCs w:val="18"/>
              </w:rPr>
            </w:pPr>
            <w:r>
              <w:rPr>
                <w:rFonts w:ascii="宋体" w:hAnsi="宋体"/>
                <w:sz w:val="20"/>
                <w:szCs w:val="18"/>
              </w:rPr>
              <w:t>2、</w:t>
            </w:r>
            <w:r>
              <w:rPr>
                <w:rFonts w:hint="eastAsia" w:ascii="宋体" w:hAnsi="宋体"/>
                <w:sz w:val="20"/>
                <w:szCs w:val="18"/>
              </w:rPr>
              <w:t>选择项在对应其栏目的□中打“√”。其中：当客户信息发生改变时，须在“证书变更”栏目前打“√”，同时须在“客户业务申请具体内容”栏目中填写清楚客户新的信息。</w:t>
            </w:r>
          </w:p>
          <w:p>
            <w:pPr>
              <w:pStyle w:val="19"/>
              <w:numPr>
                <w:ilvl w:val="0"/>
                <w:numId w:val="3"/>
              </w:numPr>
              <w:tabs>
                <w:tab w:val="left" w:pos="207"/>
                <w:tab w:val="clear" w:pos="420"/>
              </w:tabs>
              <w:rPr>
                <w:rFonts w:ascii="宋体" w:hAnsi="宋体"/>
                <w:sz w:val="20"/>
                <w:szCs w:val="18"/>
              </w:rPr>
            </w:pPr>
            <w:r>
              <w:rPr>
                <w:rFonts w:hint="eastAsia" w:ascii="宋体" w:hAnsi="宋体"/>
                <w:sz w:val="20"/>
                <w:szCs w:val="18"/>
              </w:rPr>
              <w:t>3、证书如有遗失或者损坏，请及时携带相关资料（同证书新办资料），到咸宁市住房公积金管理中心申请办理证书补办手续。</w:t>
            </w:r>
          </w:p>
          <w:p>
            <w:pPr>
              <w:pStyle w:val="4"/>
              <w:spacing w:before="93" w:beforeLines="30" w:line="360" w:lineRule="auto"/>
              <w:ind w:firstLine="472" w:firstLineChars="196"/>
              <w:rPr>
                <w:rFonts w:ascii="楷体_GB2312" w:eastAsia="楷体_GB2312"/>
                <w:sz w:val="24"/>
                <w:szCs w:val="24"/>
              </w:rPr>
            </w:pPr>
            <w:r>
              <w:rPr>
                <w:rFonts w:hint="eastAsia" w:ascii="楷体_GB2312" w:eastAsia="楷体_GB2312"/>
                <w:sz w:val="24"/>
                <w:szCs w:val="24"/>
              </w:rPr>
              <w:t>申请单位在此郑重申明：表内所填内容完全属实，所提交资料均真实有效，接受据此颁发的数字证书，保证遵守证书申请协议书中所明确的职责，并承担相关法律责任。</w:t>
            </w:r>
          </w:p>
          <w:p>
            <w:pPr>
              <w:rPr>
                <w:rFonts w:ascii="楷体_GB2312" w:hAnsi="宋体" w:eastAsia="楷体_GB2312"/>
                <w:szCs w:val="21"/>
              </w:rPr>
            </w:pPr>
            <w:r>
              <w:rPr>
                <w:rFonts w:ascii="楷体_GB2312" w:hAnsi="Calibri" w:eastAsia="楷体_GB2312"/>
                <w:szCs w:val="21"/>
              </w:rPr>
              <w:pict>
                <v:shape id="文本框 1" o:spid="_x0000_s1029" o:spt="202" type="#_x0000_t202" style="position:absolute;left:0pt;margin-left:287.6pt;margin-top:9.45pt;height:32.6pt;width:126pt;mso-wrap-distance-bottom:0pt;mso-wrap-distance-left:9pt;mso-wrap-distance-right:9pt;mso-wrap-distance-top:0pt;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">
                  <v:path/>
                  <v:fill on="f" focussize="0,0"/>
                  <v:stroke on="f" joinstyle="miter"/>
                  <v:imagedata o:title=""/>
                  <o:lock v:ext="edit"/>
                  <v:textbox>
                    <w:txbxContent>
                      <w:p>
                        <w:r>
                          <w:t>（申请单位盖章）</w:t>
                        </w:r>
                      </w:p>
                    </w:txbxContent>
                  </v:textbox>
                  <w10:wrap type="square"/>
                </v:shape>
              </w:pict>
            </w:r>
            <w:r>
              <w:rPr>
                <w:rFonts w:hint="eastAsia" w:ascii="楷体_GB2312" w:eastAsia="楷体_GB2312"/>
                <w:szCs w:val="21"/>
              </w:rPr>
              <w:t>经办人签字</w:t>
            </w:r>
            <w:r>
              <w:rPr>
                <w:rFonts w:hint="eastAsia" w:ascii="楷体_GB2312" w:hAnsi="宋体" w:eastAsia="楷体_GB2312"/>
                <w:szCs w:val="21"/>
              </w:rPr>
              <w:t xml:space="preserve">：______________________        </w:t>
            </w:r>
          </w:p>
          <w:p>
            <w:pPr>
              <w:rPr>
                <w:rFonts w:ascii="宋体"/>
                <w:b/>
                <w:sz w:val="22"/>
              </w:rPr>
            </w:pPr>
            <w:r>
              <w:rPr>
                <w:rFonts w:hint="eastAsia" w:ascii="楷体_GB2312" w:hAnsi="宋体" w:eastAsia="楷体_GB2312"/>
                <w:szCs w:val="21"/>
              </w:rPr>
              <w:t>日</w:t>
            </w:r>
            <w:r>
              <w:rPr>
                <w:rFonts w:ascii="楷体_GB2312" w:hAnsi="宋体" w:eastAsia="楷体_GB2312"/>
                <w:szCs w:val="21"/>
              </w:rPr>
              <w:t xml:space="preserve">      </w:t>
            </w:r>
            <w:r>
              <w:rPr>
                <w:rFonts w:hint="eastAsia" w:ascii="楷体_GB2312" w:hAnsi="宋体" w:eastAsia="楷体_GB2312"/>
                <w:szCs w:val="21"/>
              </w:rPr>
              <w:t>期：_______年___</w:t>
            </w:r>
            <w:r>
              <w:rPr>
                <w:rFonts w:ascii="楷体_GB2312" w:hAnsi="宋体" w:eastAsia="楷体_GB2312"/>
                <w:szCs w:val="21"/>
              </w:rPr>
              <w:softHyphen/>
            </w:r>
            <w:r>
              <w:rPr>
                <w:rFonts w:ascii="楷体_GB2312" w:hAnsi="宋体" w:eastAsia="楷体_GB2312"/>
                <w:szCs w:val="21"/>
              </w:rPr>
              <w:t>_</w:t>
            </w:r>
            <w:r>
              <w:rPr>
                <w:rFonts w:hint="eastAsia" w:ascii="楷体_GB2312" w:hAnsi="宋体" w:eastAsia="楷体_GB2312"/>
                <w:szCs w:val="21"/>
              </w:rPr>
              <w:t>_月_____日</w:t>
            </w:r>
            <w:r>
              <w:rPr>
                <w:rFonts w:hint="eastAsia" w:ascii="楷体_GB2312" w:hAnsi="宋体" w:eastAsia="楷体_GB2312"/>
                <w:sz w:val="22"/>
              </w:rPr>
              <w:t xml:space="preserve"> </w:t>
            </w:r>
          </w:p>
        </w:tc>
      </w:tr>
    </w:tbl>
    <w:p>
      <w:pPr>
        <w:widowControl/>
        <w:jc w:val="left"/>
        <w:rPr>
          <w:rFonts w:ascii="Arial" w:hAnsi="Arial" w:eastAsia="黑体"/>
          <w:bCs/>
          <w:sz w:val="48"/>
          <w:szCs w:val="44"/>
        </w:rPr>
      </w:pPr>
    </w:p>
    <w:p>
      <w:pPr>
        <w:widowControl/>
        <w:jc w:val="left"/>
        <w:rPr>
          <w:rFonts w:ascii="Arial" w:hAnsi="Arial" w:eastAsia="黑体"/>
          <w:bCs/>
          <w:sz w:val="48"/>
          <w:szCs w:val="44"/>
        </w:rPr>
      </w:pPr>
      <w:r>
        <w:rPr>
          <w:rFonts w:ascii="Arial" w:hAnsi="Arial" w:eastAsia="黑体"/>
          <w:bCs/>
          <w:sz w:val="48"/>
          <w:szCs w:val="44"/>
        </w:rPr>
        <w:br w:type="page"/>
      </w:r>
    </w:p>
    <w:p>
      <w:pPr>
        <w:pStyle w:val="3"/>
        <w:numPr>
          <w:ilvl w:val="2"/>
          <w:numId w:val="0"/>
        </w:numPr>
        <w:spacing w:line="240" w:lineRule="auto"/>
        <w:ind w:firstLine="3600" w:firstLineChars="750"/>
        <w:rPr>
          <w:rFonts w:ascii="Arial" w:hAnsi="Arial" w:eastAsia="黑体"/>
          <w:sz w:val="48"/>
          <w:szCs w:val="44"/>
        </w:rPr>
      </w:pPr>
      <w:r>
        <w:rPr>
          <w:rFonts w:hint="eastAsia" w:ascii="Arial" w:hAnsi="Arial" w:eastAsia="黑体"/>
          <w:b w:val="0"/>
          <w:sz w:val="48"/>
          <w:szCs w:val="44"/>
        </w:rPr>
        <w:t xml:space="preserve">责 任 </w:t>
      </w:r>
      <w:r>
        <w:rPr>
          <w:rFonts w:hint="eastAsia" w:ascii="Arial" w:hAnsi="Arial" w:eastAsia="黑体"/>
          <w:sz w:val="48"/>
          <w:szCs w:val="44"/>
        </w:rPr>
        <w:t>书</w:t>
      </w:r>
      <w:bookmarkEnd w:id="0"/>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为了保障数字证书（以下简称证书）申请者的合法权利，保证证书的合法使用，证书申请者(以下简称申请者)和湖北省数字证书认证管理中心有限公司（以下简称湖北CA）双方本着自愿平等的原则，达成以下条款，共同遵守执行。</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b/>
          <w:sz w:val="24"/>
          <w:szCs w:val="24"/>
        </w:rPr>
      </w:pPr>
      <w:r>
        <w:rPr>
          <w:rFonts w:hint="eastAsia" w:ascii="宋体" w:hAnsi="宋体" w:eastAsia="宋体" w:cs="宋体"/>
          <w:b/>
          <w:sz w:val="24"/>
          <w:szCs w:val="24"/>
        </w:rPr>
        <w:t>一、申请者的权利与责任</w:t>
      </w: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申请者故意或过失提供不真实资料，导致所签发的证书失实，带来任何损失时，由申请者承担一切责任；</w:t>
      </w: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申请者应当妥善保管所颁发的证书和介质保护密码，不得泄漏或交付他人。因申请者过失而产生的风险及损失由申请者承担；如遇证书(介质)遗失或被窃、介质保护密码被窃等，应立即向湖北CA办理挂失等业务，从湖北CA正式受理起24小时内，所有使用该证书所造成的一切损失由申请者承担；</w:t>
      </w: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若申请者主要信息发生变化、终止使用证书等，应立即申请办理注销或变更等。因未及时通知湖北CA办理注销或变更等而造成的损失由申请者自行承担；</w:t>
      </w: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在证书失效前30天必须向湖北CA提出证书更新请求，否则，证书到期将自动失效，湖北CA对此不负任何责任；</w:t>
      </w: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申请者在使用证书时，可以根据应用的需要查询证书是否在有效期内和是否被列为为"黑名单"。</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b/>
          <w:sz w:val="24"/>
          <w:szCs w:val="24"/>
        </w:rPr>
      </w:pPr>
      <w:r>
        <w:rPr>
          <w:rFonts w:hint="eastAsia" w:ascii="宋体" w:hAnsi="宋体" w:eastAsia="宋体" w:cs="宋体"/>
          <w:b/>
          <w:sz w:val="24"/>
          <w:szCs w:val="24"/>
        </w:rPr>
        <w:t>二、湖北CA的权利与责任</w:t>
      </w:r>
    </w:p>
    <w:p>
      <w:pPr>
        <w:keepNext w:val="0"/>
        <w:keepLines w:val="0"/>
        <w:pageBreakBefore w:val="0"/>
        <w:widowControl w:val="0"/>
        <w:numPr>
          <w:ilvl w:val="0"/>
          <w:numId w:val="5"/>
        </w:numPr>
        <w:kinsoku/>
        <w:wordWrap/>
        <w:overflowPunct/>
        <w:topLinePunct w:val="0"/>
        <w:autoSpaceDE/>
        <w:autoSpaceDN/>
        <w:bidi w:val="0"/>
        <w:adjustRightInd/>
        <w:snapToGrid/>
        <w:spacing w:line="38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湖北CA对所有申请者，须进行身份标识和鉴别，以查验其身份的真实性、可靠性，若发现申请者资料存在虚假，将注销已签发的证书并拒绝提供服务；</w:t>
      </w:r>
    </w:p>
    <w:p>
      <w:pPr>
        <w:keepNext w:val="0"/>
        <w:keepLines w:val="0"/>
        <w:pageBreakBefore w:val="0"/>
        <w:widowControl w:val="0"/>
        <w:numPr>
          <w:ilvl w:val="0"/>
          <w:numId w:val="5"/>
        </w:numPr>
        <w:kinsoku/>
        <w:wordWrap/>
        <w:overflowPunct/>
        <w:topLinePunct w:val="0"/>
        <w:autoSpaceDE/>
        <w:autoSpaceDN/>
        <w:bidi w:val="0"/>
        <w:adjustRightInd/>
        <w:snapToGrid/>
        <w:spacing w:line="38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对于证书的存储介质在保修期内出现任何故障，本公司负责及时维修和更换；</w:t>
      </w:r>
    </w:p>
    <w:p>
      <w:pPr>
        <w:keepNext w:val="0"/>
        <w:keepLines w:val="0"/>
        <w:pageBreakBefore w:val="0"/>
        <w:widowControl w:val="0"/>
        <w:numPr>
          <w:ilvl w:val="0"/>
          <w:numId w:val="5"/>
        </w:numPr>
        <w:kinsoku/>
        <w:wordWrap/>
        <w:overflowPunct/>
        <w:topLinePunct w:val="0"/>
        <w:autoSpaceDE/>
        <w:autoSpaceDN/>
        <w:bidi w:val="0"/>
        <w:adjustRightInd/>
        <w:snapToGrid/>
        <w:spacing w:line="38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湖北CA发放的证书保证申请者在网络上身份的真实性、信息的保密性、信息传输过程中的完整性以及信息发送方的不可否认性，可用于网络中的验证身份、电子签名和信息加解密等，若申请者将其用于其他用途，湖北CA不承担任何责任；</w:t>
      </w:r>
    </w:p>
    <w:p>
      <w:pPr>
        <w:keepNext w:val="0"/>
        <w:keepLines w:val="0"/>
        <w:pageBreakBefore w:val="0"/>
        <w:widowControl w:val="0"/>
        <w:numPr>
          <w:ilvl w:val="0"/>
          <w:numId w:val="5"/>
        </w:numPr>
        <w:kinsoku/>
        <w:wordWrap/>
        <w:overflowPunct/>
        <w:topLinePunct w:val="0"/>
        <w:autoSpaceDE/>
        <w:autoSpaceDN/>
        <w:bidi w:val="0"/>
        <w:adjustRightInd/>
        <w:snapToGrid/>
        <w:spacing w:line="38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对于下列情况之一的，湖北CA有权主动注销所签发的证书：</w:t>
      </w:r>
    </w:p>
    <w:p>
      <w:pPr>
        <w:keepNext w:val="0"/>
        <w:keepLines w:val="0"/>
        <w:pageBreakBefore w:val="0"/>
        <w:widowControl w:val="0"/>
        <w:numPr>
          <w:ilvl w:val="1"/>
          <w:numId w:val="5"/>
        </w:numPr>
        <w:kinsoku/>
        <w:wordWrap/>
        <w:overflowPunct/>
        <w:topLinePunct w:val="0"/>
        <w:autoSpaceDE/>
        <w:autoSpaceDN/>
        <w:bidi w:val="0"/>
        <w:adjustRightInd/>
        <w:snapToGrid/>
        <w:spacing w:line="38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申请者已不能履行或违反了所规定的责任和义务</w:t>
      </w:r>
    </w:p>
    <w:p>
      <w:pPr>
        <w:keepNext w:val="0"/>
        <w:keepLines w:val="0"/>
        <w:pageBreakBefore w:val="0"/>
        <w:widowControl w:val="0"/>
        <w:numPr>
          <w:ilvl w:val="1"/>
          <w:numId w:val="5"/>
        </w:numPr>
        <w:kinsoku/>
        <w:wordWrap/>
        <w:overflowPunct/>
        <w:topLinePunct w:val="0"/>
        <w:autoSpaceDE/>
        <w:autoSpaceDN/>
        <w:bidi w:val="0"/>
        <w:adjustRightInd/>
        <w:snapToGrid/>
        <w:spacing w:line="38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证书中的相关重要信息发生了变更</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b/>
          <w:sz w:val="24"/>
          <w:szCs w:val="24"/>
        </w:rPr>
      </w:pPr>
      <w:r>
        <w:rPr>
          <w:rFonts w:hint="eastAsia" w:ascii="宋体" w:hAnsi="宋体" w:eastAsia="宋体" w:cs="宋体"/>
          <w:b/>
          <w:sz w:val="24"/>
          <w:szCs w:val="24"/>
        </w:rPr>
        <w:t>三、责任书的生效、变更与终止</w:t>
      </w:r>
    </w:p>
    <w:p>
      <w:pPr>
        <w:keepNext w:val="0"/>
        <w:keepLines w:val="0"/>
        <w:pageBreakBefore w:val="0"/>
        <w:widowControl w:val="0"/>
        <w:numPr>
          <w:ilvl w:val="0"/>
          <w:numId w:val="6"/>
        </w:numPr>
        <w:kinsoku/>
        <w:wordWrap/>
        <w:overflowPunct/>
        <w:topLinePunct w:val="0"/>
        <w:autoSpaceDE/>
        <w:autoSpaceDN/>
        <w:bidi w:val="0"/>
        <w:adjustRightInd/>
        <w:snapToGrid/>
        <w:spacing w:line="38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责任书如有修订而涉及申请者的权利、义务时，湖北CA将以网站www.hbca.org.cn的方式通知申请者；</w:t>
      </w:r>
    </w:p>
    <w:p>
      <w:pPr>
        <w:keepNext w:val="0"/>
        <w:keepLines w:val="0"/>
        <w:pageBreakBefore w:val="0"/>
        <w:widowControl w:val="0"/>
        <w:numPr>
          <w:ilvl w:val="0"/>
          <w:numId w:val="6"/>
        </w:numPr>
        <w:kinsoku/>
        <w:wordWrap/>
        <w:overflowPunct/>
        <w:topLinePunct w:val="0"/>
        <w:autoSpaceDE/>
        <w:autoSpaceDN/>
        <w:bidi w:val="0"/>
        <w:adjustRightInd/>
        <w:snapToGrid/>
        <w:spacing w:line="38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申请者如无异议，则视为同意；如有异议应向湖CA提出，湖北CA维护申请者的合法权益；</w:t>
      </w:r>
    </w:p>
    <w:p>
      <w:pPr>
        <w:keepNext w:val="0"/>
        <w:keepLines w:val="0"/>
        <w:pageBreakBefore w:val="0"/>
        <w:widowControl w:val="0"/>
        <w:numPr>
          <w:ilvl w:val="0"/>
          <w:numId w:val="6"/>
        </w:numPr>
        <w:tabs>
          <w:tab w:val="left" w:pos="624"/>
        </w:tabs>
        <w:kinsoku/>
        <w:wordWrap/>
        <w:overflowPunct/>
        <w:topLinePunct w:val="0"/>
        <w:autoSpaceDE/>
        <w:autoSpaceDN/>
        <w:bidi w:val="0"/>
        <w:adjustRightInd/>
        <w:snapToGrid/>
        <w:spacing w:line="38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申请者确认已经认真阅读并完全理解本责任书的各项条款，申请者在申请（受理）表上签名（盖章）即表明接受本责任书的约束，本责任书即时生效。</w:t>
      </w:r>
    </w:p>
    <w:p>
      <w:pPr>
        <w:snapToGrid w:val="0"/>
        <w:spacing w:line="460" w:lineRule="exact"/>
        <w:ind w:firstLine="400" w:firstLineChars="200"/>
        <w:jc w:val="left"/>
        <w:rPr>
          <w:rFonts w:ascii="宋体" w:hAnsi="宋体" w:cs="宋体"/>
          <w:color w:val="000000"/>
          <w:kern w:val="0"/>
          <w:sz w:val="20"/>
          <w:szCs w:val="28"/>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华文楷体">
    <w:altName w:val="楷体_GB2312"/>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B036FA"/>
    <w:multiLevelType w:val="multilevel"/>
    <w:tmpl w:val="02B036FA"/>
    <w:lvl w:ilvl="0" w:tentative="0">
      <w:start w:val="1"/>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69B1074"/>
    <w:multiLevelType w:val="multilevel"/>
    <w:tmpl w:val="069B1074"/>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8E961BC"/>
    <w:multiLevelType w:val="multilevel"/>
    <w:tmpl w:val="18E961BC"/>
    <w:lvl w:ilvl="0" w:tentative="0">
      <w:start w:val="1"/>
      <w:numFmt w:val="decimal"/>
      <w:lvlText w:val="%1."/>
      <w:lvlJc w:val="left"/>
      <w:pPr>
        <w:tabs>
          <w:tab w:val="left" w:pos="420"/>
        </w:tabs>
        <w:ind w:left="420" w:hanging="420"/>
      </w:p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5ED1437"/>
    <w:multiLevelType w:val="multilevel"/>
    <w:tmpl w:val="35ED1437"/>
    <w:lvl w:ilvl="0" w:tentative="0">
      <w:start w:val="1"/>
      <w:numFmt w:val="bullet"/>
      <w:pStyle w:val="19"/>
      <w:lvlText w:val=""/>
      <w:lvlJc w:val="left"/>
      <w:pPr>
        <w:tabs>
          <w:tab w:val="left" w:pos="459"/>
        </w:tabs>
        <w:ind w:left="459" w:hanging="420"/>
      </w:pPr>
      <w:rPr>
        <w:rFonts w:hint="default" w:ascii="Wingdings" w:hAnsi="Wingdings"/>
      </w:rPr>
    </w:lvl>
    <w:lvl w:ilvl="1" w:tentative="0">
      <w:start w:val="1"/>
      <w:numFmt w:val="bullet"/>
      <w:lvlText w:val=""/>
      <w:lvlJc w:val="left"/>
      <w:pPr>
        <w:tabs>
          <w:tab w:val="left" w:pos="879"/>
        </w:tabs>
        <w:ind w:left="879" w:hanging="420"/>
      </w:pPr>
      <w:rPr>
        <w:rFonts w:hint="default" w:ascii="Wingdings" w:hAnsi="Wingdings"/>
      </w:rPr>
    </w:lvl>
    <w:lvl w:ilvl="2" w:tentative="0">
      <w:start w:val="1"/>
      <w:numFmt w:val="bullet"/>
      <w:lvlText w:val=""/>
      <w:lvlJc w:val="left"/>
      <w:pPr>
        <w:tabs>
          <w:tab w:val="left" w:pos="1299"/>
        </w:tabs>
        <w:ind w:left="1299" w:hanging="420"/>
      </w:pPr>
      <w:rPr>
        <w:rFonts w:hint="default" w:ascii="Wingdings" w:hAnsi="Wingdings"/>
      </w:rPr>
    </w:lvl>
    <w:lvl w:ilvl="3" w:tentative="0">
      <w:start w:val="1"/>
      <w:numFmt w:val="bullet"/>
      <w:lvlText w:val=""/>
      <w:lvlJc w:val="left"/>
      <w:pPr>
        <w:tabs>
          <w:tab w:val="left" w:pos="1719"/>
        </w:tabs>
        <w:ind w:left="1719" w:hanging="420"/>
      </w:pPr>
      <w:rPr>
        <w:rFonts w:hint="default" w:ascii="Wingdings" w:hAnsi="Wingdings"/>
      </w:rPr>
    </w:lvl>
    <w:lvl w:ilvl="4" w:tentative="0">
      <w:start w:val="1"/>
      <w:numFmt w:val="bullet"/>
      <w:lvlText w:val=""/>
      <w:lvlJc w:val="left"/>
      <w:pPr>
        <w:tabs>
          <w:tab w:val="left" w:pos="2139"/>
        </w:tabs>
        <w:ind w:left="2139" w:hanging="420"/>
      </w:pPr>
      <w:rPr>
        <w:rFonts w:hint="default" w:ascii="Wingdings" w:hAnsi="Wingdings"/>
      </w:rPr>
    </w:lvl>
    <w:lvl w:ilvl="5" w:tentative="0">
      <w:start w:val="1"/>
      <w:numFmt w:val="bullet"/>
      <w:lvlText w:val=""/>
      <w:lvlJc w:val="left"/>
      <w:pPr>
        <w:tabs>
          <w:tab w:val="left" w:pos="2559"/>
        </w:tabs>
        <w:ind w:left="2559" w:hanging="420"/>
      </w:pPr>
      <w:rPr>
        <w:rFonts w:hint="default" w:ascii="Wingdings" w:hAnsi="Wingdings"/>
      </w:rPr>
    </w:lvl>
    <w:lvl w:ilvl="6" w:tentative="0">
      <w:start w:val="1"/>
      <w:numFmt w:val="bullet"/>
      <w:lvlText w:val=""/>
      <w:lvlJc w:val="left"/>
      <w:pPr>
        <w:tabs>
          <w:tab w:val="left" w:pos="2979"/>
        </w:tabs>
        <w:ind w:left="2979" w:hanging="420"/>
      </w:pPr>
      <w:rPr>
        <w:rFonts w:hint="default" w:ascii="Wingdings" w:hAnsi="Wingdings"/>
      </w:rPr>
    </w:lvl>
    <w:lvl w:ilvl="7" w:tentative="0">
      <w:start w:val="1"/>
      <w:numFmt w:val="bullet"/>
      <w:lvlText w:val=""/>
      <w:lvlJc w:val="left"/>
      <w:pPr>
        <w:tabs>
          <w:tab w:val="left" w:pos="3399"/>
        </w:tabs>
        <w:ind w:left="3399" w:hanging="420"/>
      </w:pPr>
      <w:rPr>
        <w:rFonts w:hint="default" w:ascii="Wingdings" w:hAnsi="Wingdings"/>
      </w:rPr>
    </w:lvl>
    <w:lvl w:ilvl="8" w:tentative="0">
      <w:start w:val="1"/>
      <w:numFmt w:val="bullet"/>
      <w:lvlText w:val=""/>
      <w:lvlJc w:val="left"/>
      <w:pPr>
        <w:tabs>
          <w:tab w:val="left" w:pos="3819"/>
        </w:tabs>
        <w:ind w:left="3819" w:hanging="420"/>
      </w:pPr>
      <w:rPr>
        <w:rFonts w:hint="default" w:ascii="Wingdings" w:hAnsi="Wingdings"/>
      </w:rPr>
    </w:lvl>
  </w:abstractNum>
  <w:abstractNum w:abstractNumId="4">
    <w:nsid w:val="476B0E8A"/>
    <w:multiLevelType w:val="multilevel"/>
    <w:tmpl w:val="476B0E8A"/>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84E159A"/>
    <w:multiLevelType w:val="multilevel"/>
    <w:tmpl w:val="484E159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EyMjVhYjg1NDJhNWExYjNmMTBjNGVmZWI3ZDJiYTkifQ=="/>
  </w:docVars>
  <w:rsids>
    <w:rsidRoot w:val="008F5F88"/>
    <w:rsid w:val="000374E0"/>
    <w:rsid w:val="00087BF2"/>
    <w:rsid w:val="000946D8"/>
    <w:rsid w:val="000A0E4D"/>
    <w:rsid w:val="000D4FDA"/>
    <w:rsid w:val="00103047"/>
    <w:rsid w:val="00115D43"/>
    <w:rsid w:val="00150FBF"/>
    <w:rsid w:val="001B2BB4"/>
    <w:rsid w:val="001F6C9F"/>
    <w:rsid w:val="00240C57"/>
    <w:rsid w:val="00246798"/>
    <w:rsid w:val="002C08EF"/>
    <w:rsid w:val="002E00B9"/>
    <w:rsid w:val="002F7F38"/>
    <w:rsid w:val="00345288"/>
    <w:rsid w:val="003C481D"/>
    <w:rsid w:val="003D3095"/>
    <w:rsid w:val="00447C3A"/>
    <w:rsid w:val="004A58A1"/>
    <w:rsid w:val="005354F6"/>
    <w:rsid w:val="005C07DA"/>
    <w:rsid w:val="005C478A"/>
    <w:rsid w:val="005D7FC2"/>
    <w:rsid w:val="00601292"/>
    <w:rsid w:val="00612E85"/>
    <w:rsid w:val="00640140"/>
    <w:rsid w:val="0065268D"/>
    <w:rsid w:val="0066588B"/>
    <w:rsid w:val="006746B3"/>
    <w:rsid w:val="006D25F3"/>
    <w:rsid w:val="006F1D74"/>
    <w:rsid w:val="0079134A"/>
    <w:rsid w:val="007C4F40"/>
    <w:rsid w:val="00846E48"/>
    <w:rsid w:val="0086289E"/>
    <w:rsid w:val="00876D2A"/>
    <w:rsid w:val="008B6195"/>
    <w:rsid w:val="008C3C54"/>
    <w:rsid w:val="008F5F88"/>
    <w:rsid w:val="00900C79"/>
    <w:rsid w:val="00941106"/>
    <w:rsid w:val="00991BC7"/>
    <w:rsid w:val="009B58DC"/>
    <w:rsid w:val="00A73B8C"/>
    <w:rsid w:val="00AA0430"/>
    <w:rsid w:val="00AC3B63"/>
    <w:rsid w:val="00AF2075"/>
    <w:rsid w:val="00B77FC8"/>
    <w:rsid w:val="00BA246E"/>
    <w:rsid w:val="00BC1FB1"/>
    <w:rsid w:val="00C903B7"/>
    <w:rsid w:val="00CB6510"/>
    <w:rsid w:val="00CC2FD1"/>
    <w:rsid w:val="00D2287E"/>
    <w:rsid w:val="00D229C3"/>
    <w:rsid w:val="00D557A9"/>
    <w:rsid w:val="00D77122"/>
    <w:rsid w:val="00D92BB6"/>
    <w:rsid w:val="00DB15F4"/>
    <w:rsid w:val="00E64935"/>
    <w:rsid w:val="00EC2537"/>
    <w:rsid w:val="00F94E12"/>
    <w:rsid w:val="00FA65BD"/>
    <w:rsid w:val="00FE57D9"/>
    <w:rsid w:val="17A93107"/>
    <w:rsid w:val="5BF97F11"/>
    <w:rsid w:val="6E642493"/>
    <w:rsid w:val="706245AC"/>
    <w:rsid w:val="70EC58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keepNext/>
      <w:keepLines/>
      <w:spacing w:before="340" w:after="330" w:line="576" w:lineRule="auto"/>
      <w:outlineLvl w:val="0"/>
    </w:pPr>
    <w:rPr>
      <w:rFonts w:ascii="Calibri" w:hAnsi="Calibri" w:eastAsia="宋体" w:cs="Times New Roman"/>
      <w:b/>
      <w:kern w:val="44"/>
      <w:sz w:val="44"/>
      <w:szCs w:val="24"/>
    </w:rPr>
  </w:style>
  <w:style w:type="paragraph" w:styleId="3">
    <w:name w:val="heading 3"/>
    <w:basedOn w:val="1"/>
    <w:next w:val="1"/>
    <w:link w:val="17"/>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8"/>
    <w:qFormat/>
    <w:uiPriority w:val="0"/>
    <w:rPr>
      <w:rFonts w:ascii="Times New Roman" w:hAnsi="Times New Roman" w:eastAsia="宋体" w:cs="Times New Roman"/>
      <w:b/>
      <w:szCs w:val="20"/>
    </w:rPr>
  </w:style>
  <w:style w:type="paragraph" w:styleId="5">
    <w:name w:val="Balloon Text"/>
    <w:basedOn w:val="1"/>
    <w:link w:val="20"/>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 w:type="character" w:customStyle="1" w:styleId="15">
    <w:name w:val="未处理的提及1"/>
    <w:basedOn w:val="10"/>
    <w:semiHidden/>
    <w:unhideWhenUsed/>
    <w:uiPriority w:val="99"/>
    <w:rPr>
      <w:color w:val="605E5C"/>
      <w:shd w:val="clear" w:color="auto" w:fill="E1DFDD"/>
    </w:rPr>
  </w:style>
  <w:style w:type="character" w:customStyle="1" w:styleId="16">
    <w:name w:val="标题 1 字符"/>
    <w:basedOn w:val="10"/>
    <w:link w:val="2"/>
    <w:qFormat/>
    <w:uiPriority w:val="0"/>
    <w:rPr>
      <w:rFonts w:ascii="Calibri" w:hAnsi="Calibri" w:eastAsia="宋体" w:cs="Times New Roman"/>
      <w:b/>
      <w:kern w:val="44"/>
      <w:sz w:val="44"/>
      <w:szCs w:val="24"/>
    </w:rPr>
  </w:style>
  <w:style w:type="character" w:customStyle="1" w:styleId="17">
    <w:name w:val="标题 3 字符"/>
    <w:basedOn w:val="10"/>
    <w:link w:val="3"/>
    <w:semiHidden/>
    <w:qFormat/>
    <w:uiPriority w:val="9"/>
    <w:rPr>
      <w:b/>
      <w:bCs/>
      <w:sz w:val="32"/>
      <w:szCs w:val="32"/>
    </w:rPr>
  </w:style>
  <w:style w:type="character" w:customStyle="1" w:styleId="18">
    <w:name w:val="正文文本 字符"/>
    <w:basedOn w:val="10"/>
    <w:link w:val="4"/>
    <w:qFormat/>
    <w:uiPriority w:val="0"/>
    <w:rPr>
      <w:rFonts w:ascii="Times New Roman" w:hAnsi="Times New Roman" w:eastAsia="宋体" w:cs="Times New Roman"/>
      <w:b/>
      <w:szCs w:val="20"/>
    </w:rPr>
  </w:style>
  <w:style w:type="paragraph" w:customStyle="1" w:styleId="19">
    <w:name w:val="样式1"/>
    <w:basedOn w:val="1"/>
    <w:qFormat/>
    <w:uiPriority w:val="0"/>
    <w:pPr>
      <w:numPr>
        <w:ilvl w:val="0"/>
        <w:numId w:val="1"/>
      </w:numPr>
      <w:spacing w:line="360" w:lineRule="auto"/>
    </w:pPr>
    <w:rPr>
      <w:rFonts w:ascii="Times New Roman" w:hAnsi="Times New Roman" w:eastAsia="宋体" w:cs="Times New Roman"/>
      <w:sz w:val="24"/>
      <w:szCs w:val="20"/>
    </w:rPr>
  </w:style>
  <w:style w:type="character" w:customStyle="1" w:styleId="20">
    <w:name w:val="批注框文本 字符"/>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5185</Words>
  <Characters>5763</Characters>
  <Lines>45</Lines>
  <Paragraphs>12</Paragraphs>
  <TotalTime>0</TotalTime>
  <ScaleCrop>false</ScaleCrop>
  <LinksUpToDate>false</LinksUpToDate>
  <CharactersWithSpaces>6138</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2018-08-27T07:16:00Z</dcterms:created>
  <dc:creator>chang</dc:creator>
  <cp:lastModifiedBy>f</cp:lastModifiedBy>
  <cp:lastPrinted>2018-08-30T02:11:00Z</cp:lastPrinted>
  <dcterms:modified xsi:type="dcterms:W3CDTF">2022-08-31T09:41:38Z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E9020076099C4E85BAC2754348AC81A7</vt:lpwstr>
  </property>
</Properties>
</file>